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A62" w:rsidRPr="008D6A62" w:rsidRDefault="008D6A62" w:rsidP="008D6A62">
      <w:pPr>
        <w:ind w:left="-1170"/>
        <w:rPr>
          <w:rFonts w:ascii="Arial" w:hAnsi="Arial" w:cs="Arial"/>
          <w:szCs w:val="24"/>
        </w:rPr>
      </w:pPr>
      <w:r w:rsidRPr="008D6A62">
        <w:rPr>
          <w:rFonts w:ascii="Arial" w:hAnsi="Arial" w:cs="Arial"/>
          <w:noProof/>
          <w:szCs w:val="24"/>
        </w:rPr>
        <w:drawing>
          <wp:inline distT="0" distB="0" distL="0" distR="0" wp14:anchorId="4BAB3762" wp14:editId="02788665">
            <wp:extent cx="6397948"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8676" cy="597078"/>
                    </a:xfrm>
                    <a:prstGeom prst="rect">
                      <a:avLst/>
                    </a:prstGeom>
                    <a:noFill/>
                  </pic:spPr>
                </pic:pic>
              </a:graphicData>
            </a:graphic>
          </wp:inline>
        </w:drawing>
      </w:r>
    </w:p>
    <w:tbl>
      <w:tblPr>
        <w:tblStyle w:val="TableGrid"/>
        <w:tblW w:w="10075" w:type="dxa"/>
        <w:tblInd w:w="-1170" w:type="dxa"/>
        <w:shd w:val="clear" w:color="auto" w:fill="33CCCC"/>
        <w:tblLook w:val="04A0" w:firstRow="1" w:lastRow="0" w:firstColumn="1" w:lastColumn="0" w:noHBand="0" w:noVBand="1"/>
      </w:tblPr>
      <w:tblGrid>
        <w:gridCol w:w="10075"/>
      </w:tblGrid>
      <w:tr w:rsidR="008D6A62" w:rsidRPr="008D6A62" w:rsidTr="00EB3284">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rsidR="008D6A62" w:rsidRPr="008D6A62" w:rsidRDefault="008D6A62" w:rsidP="00EB3284">
            <w:pPr>
              <w:spacing w:before="0" w:after="0" w:line="240" w:lineRule="auto"/>
              <w:jc w:val="center"/>
              <w:rPr>
                <w:rFonts w:ascii="Arial" w:hAnsi="Arial" w:cs="Arial"/>
                <w:b/>
                <w:sz w:val="32"/>
                <w:szCs w:val="24"/>
              </w:rPr>
            </w:pPr>
            <w:r w:rsidRPr="00EB3284">
              <w:rPr>
                <w:rFonts w:ascii="Arial" w:hAnsi="Arial" w:cs="Arial"/>
                <w:b/>
                <w:color w:val="FFFFFF" w:themeColor="background1"/>
                <w:sz w:val="28"/>
                <w:szCs w:val="24"/>
              </w:rPr>
              <w:t>THÔNG TIN HÒA GIẢI VIÊN</w:t>
            </w:r>
          </w:p>
        </w:tc>
      </w:tr>
    </w:tbl>
    <w:p w:rsidR="008D6A62" w:rsidRPr="008D6A62" w:rsidRDefault="008D6A62" w:rsidP="008D6A62">
      <w:pPr>
        <w:ind w:left="-1170"/>
        <w:rPr>
          <w:rFonts w:ascii="Arial" w:hAnsi="Arial" w:cs="Arial"/>
          <w:szCs w:val="24"/>
        </w:rPr>
      </w:pPr>
    </w:p>
    <w:tbl>
      <w:tblPr>
        <w:tblStyle w:val="TableGrid"/>
        <w:tblW w:w="9632" w:type="dxa"/>
        <w:tblInd w:w="-8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75"/>
        <w:gridCol w:w="1765"/>
        <w:gridCol w:w="584"/>
        <w:gridCol w:w="539"/>
        <w:gridCol w:w="3197"/>
        <w:gridCol w:w="2972"/>
      </w:tblGrid>
      <w:tr w:rsidR="00962FF4" w:rsidRPr="00606B1E" w:rsidTr="00B5517B">
        <w:trPr>
          <w:trHeight w:val="665"/>
        </w:trPr>
        <w:tc>
          <w:tcPr>
            <w:tcW w:w="6660" w:type="dxa"/>
            <w:gridSpan w:val="5"/>
            <w:vAlign w:val="center"/>
          </w:tcPr>
          <w:p w:rsidR="00962FF4" w:rsidRPr="00606B1E" w:rsidRDefault="00962FF4" w:rsidP="00081CE0">
            <w:pPr>
              <w:spacing w:before="0" w:after="0" w:line="276" w:lineRule="auto"/>
              <w:jc w:val="left"/>
              <w:rPr>
                <w:rFonts w:ascii="Arial" w:hAnsi="Arial" w:cs="Arial"/>
                <w:b/>
                <w:sz w:val="22"/>
              </w:rPr>
            </w:pPr>
            <w:r>
              <w:rPr>
                <w:rFonts w:ascii="Arial" w:hAnsi="Arial" w:cs="Arial"/>
                <w:b/>
                <w:sz w:val="22"/>
              </w:rPr>
              <w:t>TRƯƠNG TRỌNG NGHĨA</w:t>
            </w:r>
          </w:p>
        </w:tc>
        <w:tc>
          <w:tcPr>
            <w:tcW w:w="2972" w:type="dxa"/>
            <w:vMerge w:val="restart"/>
            <w:vAlign w:val="center"/>
          </w:tcPr>
          <w:p w:rsidR="00962FF4" w:rsidRPr="00606B1E" w:rsidRDefault="00B5517B" w:rsidP="00081CE0">
            <w:pPr>
              <w:spacing w:line="276" w:lineRule="auto"/>
              <w:jc w:val="center"/>
              <w:rPr>
                <w:rFonts w:ascii="Arial" w:hAnsi="Arial" w:cs="Arial"/>
                <w:sz w:val="22"/>
              </w:rPr>
            </w:pPr>
            <w:r>
              <w:object w:dxaOrig="3660" w:dyaOrig="5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5pt;height:170pt" o:ole="">
                  <v:imagedata r:id="rId8" o:title=""/>
                </v:shape>
                <o:OLEObject Type="Embed" ProgID="PBrush" ShapeID="_x0000_i1025" DrawAspect="Content" ObjectID="_1592204579" r:id="rId9"/>
              </w:object>
            </w:r>
          </w:p>
        </w:tc>
      </w:tr>
      <w:tr w:rsidR="00962FF4" w:rsidRPr="00606B1E" w:rsidTr="00B5517B">
        <w:tc>
          <w:tcPr>
            <w:tcW w:w="575" w:type="dxa"/>
            <w:vAlign w:val="center"/>
          </w:tcPr>
          <w:p w:rsidR="00962FF4" w:rsidRPr="00606B1E" w:rsidRDefault="00962FF4" w:rsidP="00081CE0">
            <w:pPr>
              <w:spacing w:line="276" w:lineRule="auto"/>
              <w:ind w:right="27"/>
              <w:jc w:val="center"/>
              <w:rPr>
                <w:rFonts w:ascii="Arial" w:hAnsi="Arial" w:cs="Arial"/>
                <w:sz w:val="22"/>
              </w:rPr>
            </w:pPr>
            <w:r>
              <w:rPr>
                <w:noProof/>
              </w:rPr>
              <w:drawing>
                <wp:inline distT="0" distB="0" distL="0" distR="0" wp14:anchorId="2499A939" wp14:editId="35FDA535">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085" w:type="dxa"/>
            <w:gridSpan w:val="4"/>
            <w:vAlign w:val="center"/>
          </w:tcPr>
          <w:p w:rsidR="000E2143" w:rsidRDefault="00962FF4" w:rsidP="00081CE0">
            <w:pPr>
              <w:spacing w:line="276" w:lineRule="auto"/>
              <w:ind w:right="27"/>
              <w:jc w:val="left"/>
              <w:rPr>
                <w:rFonts w:ascii="Arial" w:hAnsi="Arial" w:cs="Arial"/>
                <w:sz w:val="20"/>
                <w:szCs w:val="20"/>
              </w:rPr>
            </w:pPr>
            <w:r w:rsidRPr="000C12F8">
              <w:rPr>
                <w:rFonts w:ascii="Arial" w:hAnsi="Arial" w:cs="Arial"/>
                <w:sz w:val="20"/>
                <w:szCs w:val="20"/>
              </w:rPr>
              <w:t>Luật Sư Thành Viên, YKVN</w:t>
            </w:r>
          </w:p>
          <w:p w:rsidR="00B5517B" w:rsidRPr="000E2143" w:rsidRDefault="00B5517B" w:rsidP="00081CE0">
            <w:pPr>
              <w:spacing w:line="276" w:lineRule="auto"/>
              <w:ind w:right="27"/>
              <w:jc w:val="left"/>
              <w:rPr>
                <w:rFonts w:ascii="Arial" w:hAnsi="Arial" w:cs="Arial"/>
                <w:sz w:val="20"/>
                <w:szCs w:val="20"/>
              </w:rPr>
            </w:pPr>
            <w:r>
              <w:rPr>
                <w:rFonts w:ascii="Arial" w:hAnsi="Arial" w:cs="Arial"/>
                <w:sz w:val="20"/>
                <w:szCs w:val="20"/>
              </w:rPr>
              <w:t>Đại biểu Quốc hội khóa XIV</w:t>
            </w:r>
          </w:p>
        </w:tc>
        <w:tc>
          <w:tcPr>
            <w:tcW w:w="2972" w:type="dxa"/>
            <w:vMerge/>
            <w:vAlign w:val="center"/>
          </w:tcPr>
          <w:p w:rsidR="00962FF4" w:rsidRPr="00606B1E" w:rsidRDefault="00962FF4" w:rsidP="00081CE0">
            <w:pPr>
              <w:spacing w:line="276" w:lineRule="auto"/>
              <w:jc w:val="left"/>
              <w:rPr>
                <w:rFonts w:ascii="Arial" w:hAnsi="Arial" w:cs="Arial"/>
                <w:sz w:val="22"/>
              </w:rPr>
            </w:pPr>
          </w:p>
        </w:tc>
      </w:tr>
      <w:tr w:rsidR="00962FF4" w:rsidRPr="00606B1E" w:rsidTr="00B5517B">
        <w:tc>
          <w:tcPr>
            <w:tcW w:w="575" w:type="dxa"/>
            <w:vAlign w:val="center"/>
          </w:tcPr>
          <w:p w:rsidR="00962FF4" w:rsidRPr="00606B1E" w:rsidRDefault="00962FF4" w:rsidP="00081CE0">
            <w:pPr>
              <w:spacing w:line="276" w:lineRule="auto"/>
              <w:jc w:val="center"/>
              <w:rPr>
                <w:rFonts w:ascii="Arial" w:hAnsi="Arial" w:cs="Arial"/>
                <w:sz w:val="22"/>
              </w:rPr>
            </w:pPr>
            <w:r>
              <w:rPr>
                <w:noProof/>
              </w:rPr>
              <w:drawing>
                <wp:inline distT="0" distB="0" distL="0" distR="0" wp14:anchorId="5EB7B041" wp14:editId="47F18AD3">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085" w:type="dxa"/>
            <w:gridSpan w:val="4"/>
            <w:vAlign w:val="center"/>
          </w:tcPr>
          <w:p w:rsidR="00962FF4" w:rsidRPr="00606B1E" w:rsidRDefault="00962FF4" w:rsidP="00081CE0">
            <w:pPr>
              <w:spacing w:line="276" w:lineRule="auto"/>
              <w:jc w:val="left"/>
              <w:rPr>
                <w:rFonts w:ascii="Arial" w:hAnsi="Arial" w:cs="Arial"/>
                <w:sz w:val="22"/>
              </w:rPr>
            </w:pPr>
            <w:r w:rsidRPr="000C12F8">
              <w:rPr>
                <w:rFonts w:ascii="Arial" w:hAnsi="Arial" w:cs="Arial"/>
                <w:sz w:val="20"/>
                <w:szCs w:val="20"/>
              </w:rPr>
              <w:t>Thành Phố Hồ Chí Minh</w:t>
            </w:r>
          </w:p>
        </w:tc>
        <w:tc>
          <w:tcPr>
            <w:tcW w:w="2972" w:type="dxa"/>
            <w:vMerge/>
            <w:vAlign w:val="center"/>
          </w:tcPr>
          <w:p w:rsidR="00962FF4" w:rsidRPr="00606B1E" w:rsidRDefault="00962FF4" w:rsidP="00081CE0">
            <w:pPr>
              <w:spacing w:line="276" w:lineRule="auto"/>
              <w:jc w:val="left"/>
              <w:rPr>
                <w:rFonts w:ascii="Arial" w:hAnsi="Arial" w:cs="Arial"/>
                <w:sz w:val="22"/>
              </w:rPr>
            </w:pPr>
          </w:p>
        </w:tc>
      </w:tr>
      <w:tr w:rsidR="00962FF4" w:rsidRPr="00606B1E" w:rsidTr="00B5517B">
        <w:tc>
          <w:tcPr>
            <w:tcW w:w="575" w:type="dxa"/>
            <w:vAlign w:val="center"/>
          </w:tcPr>
          <w:p w:rsidR="00962FF4" w:rsidRPr="00606B1E" w:rsidRDefault="00962FF4" w:rsidP="00081CE0">
            <w:pPr>
              <w:spacing w:line="276" w:lineRule="auto"/>
              <w:jc w:val="center"/>
              <w:rPr>
                <w:rFonts w:ascii="Arial" w:hAnsi="Arial" w:cs="Arial"/>
                <w:sz w:val="22"/>
              </w:rPr>
            </w:pPr>
            <w:r>
              <w:rPr>
                <w:noProof/>
              </w:rPr>
              <w:drawing>
                <wp:inline distT="0" distB="0" distL="0" distR="0" wp14:anchorId="186798FF" wp14:editId="59652808">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2349" w:type="dxa"/>
            <w:gridSpan w:val="2"/>
            <w:vAlign w:val="center"/>
          </w:tcPr>
          <w:p w:rsidR="00962FF4" w:rsidRPr="00606B1E" w:rsidRDefault="00B5517B" w:rsidP="00081CE0">
            <w:pPr>
              <w:spacing w:line="276" w:lineRule="auto"/>
              <w:jc w:val="left"/>
              <w:rPr>
                <w:rFonts w:ascii="Arial" w:hAnsi="Arial" w:cs="Arial"/>
                <w:sz w:val="22"/>
              </w:rPr>
            </w:pPr>
            <w:r w:rsidRPr="00B5517B">
              <w:rPr>
                <w:rFonts w:ascii="Arial" w:hAnsi="Arial" w:cs="Arial"/>
                <w:sz w:val="22"/>
              </w:rPr>
              <w:t>(84-28) 3 822 3155</w:t>
            </w:r>
          </w:p>
        </w:tc>
        <w:tc>
          <w:tcPr>
            <w:tcW w:w="539" w:type="dxa"/>
            <w:vAlign w:val="center"/>
          </w:tcPr>
          <w:p w:rsidR="00962FF4" w:rsidRPr="00606B1E" w:rsidRDefault="00962FF4" w:rsidP="00081CE0">
            <w:pPr>
              <w:spacing w:line="276" w:lineRule="auto"/>
              <w:jc w:val="center"/>
              <w:rPr>
                <w:rFonts w:ascii="Arial" w:hAnsi="Arial" w:cs="Arial"/>
                <w:sz w:val="22"/>
              </w:rPr>
            </w:pPr>
            <w:r>
              <w:rPr>
                <w:noProof/>
              </w:rPr>
              <w:drawing>
                <wp:inline distT="0" distB="0" distL="0" distR="0" wp14:anchorId="18BD99FE" wp14:editId="3CC96C02">
                  <wp:extent cx="191415" cy="191415"/>
                  <wp:effectExtent l="0" t="0" r="0" b="0"/>
                  <wp:docPr id="8" name="Picture 8" descr="Kết quả hình ảnh cho fa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ết quả hình ảnh cho fax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521" cy="200521"/>
                          </a:xfrm>
                          <a:prstGeom prst="rect">
                            <a:avLst/>
                          </a:prstGeom>
                          <a:noFill/>
                          <a:ln>
                            <a:noFill/>
                          </a:ln>
                        </pic:spPr>
                      </pic:pic>
                    </a:graphicData>
                  </a:graphic>
                </wp:inline>
              </w:drawing>
            </w:r>
          </w:p>
        </w:tc>
        <w:tc>
          <w:tcPr>
            <w:tcW w:w="3197" w:type="dxa"/>
            <w:vAlign w:val="center"/>
          </w:tcPr>
          <w:p w:rsidR="00962FF4" w:rsidRPr="00606B1E" w:rsidRDefault="00B5517B" w:rsidP="00081CE0">
            <w:pPr>
              <w:spacing w:line="276" w:lineRule="auto"/>
              <w:jc w:val="left"/>
              <w:rPr>
                <w:rFonts w:ascii="Arial" w:hAnsi="Arial" w:cs="Arial"/>
                <w:sz w:val="22"/>
              </w:rPr>
            </w:pPr>
            <w:r w:rsidRPr="00B5517B">
              <w:rPr>
                <w:rFonts w:ascii="Arial" w:hAnsi="Arial" w:cs="Arial"/>
                <w:sz w:val="22"/>
              </w:rPr>
              <w:t>(84-28) 3 823 6902</w:t>
            </w:r>
          </w:p>
        </w:tc>
        <w:tc>
          <w:tcPr>
            <w:tcW w:w="2972" w:type="dxa"/>
            <w:vMerge/>
            <w:vAlign w:val="center"/>
          </w:tcPr>
          <w:p w:rsidR="00962FF4" w:rsidRPr="00606B1E" w:rsidRDefault="00962FF4" w:rsidP="00081CE0">
            <w:pPr>
              <w:spacing w:line="276" w:lineRule="auto"/>
              <w:jc w:val="left"/>
              <w:rPr>
                <w:rFonts w:ascii="Arial" w:hAnsi="Arial" w:cs="Arial"/>
                <w:sz w:val="22"/>
              </w:rPr>
            </w:pPr>
          </w:p>
        </w:tc>
      </w:tr>
      <w:tr w:rsidR="00962FF4" w:rsidRPr="00606B1E" w:rsidTr="00B5517B">
        <w:tc>
          <w:tcPr>
            <w:tcW w:w="575" w:type="dxa"/>
            <w:vAlign w:val="center"/>
          </w:tcPr>
          <w:p w:rsidR="00962FF4" w:rsidRPr="00606B1E" w:rsidRDefault="00962FF4" w:rsidP="00081CE0">
            <w:pPr>
              <w:spacing w:line="276" w:lineRule="auto"/>
              <w:jc w:val="center"/>
              <w:rPr>
                <w:rFonts w:ascii="Arial" w:hAnsi="Arial" w:cs="Arial"/>
                <w:sz w:val="22"/>
              </w:rPr>
            </w:pPr>
            <w:r>
              <w:rPr>
                <w:noProof/>
              </w:rPr>
              <w:drawing>
                <wp:inline distT="0" distB="0" distL="0" distR="0" wp14:anchorId="16414E30" wp14:editId="62614986">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085" w:type="dxa"/>
            <w:gridSpan w:val="4"/>
            <w:vAlign w:val="center"/>
          </w:tcPr>
          <w:p w:rsidR="00962FF4" w:rsidRPr="00606B1E" w:rsidRDefault="00F930F6" w:rsidP="00081CE0">
            <w:pPr>
              <w:spacing w:line="276" w:lineRule="auto"/>
              <w:jc w:val="left"/>
              <w:rPr>
                <w:rFonts w:ascii="Arial" w:hAnsi="Arial" w:cs="Arial"/>
                <w:sz w:val="22"/>
              </w:rPr>
            </w:pPr>
            <w:hyperlink r:id="rId15" w:history="1">
              <w:r w:rsidR="00B5517B" w:rsidRPr="005C1E06">
                <w:rPr>
                  <w:rStyle w:val="Hyperlink"/>
                  <w:rFonts w:ascii="Arial" w:hAnsi="Arial" w:cs="Arial"/>
                  <w:sz w:val="21"/>
                  <w:szCs w:val="21"/>
                </w:rPr>
                <w:t>nghia.truong@ykvn-law.com</w:t>
              </w:r>
            </w:hyperlink>
            <w:r w:rsidR="00B5517B">
              <w:rPr>
                <w:rFonts w:ascii="Arial" w:hAnsi="Arial" w:cs="Arial"/>
                <w:color w:val="666666"/>
                <w:sz w:val="21"/>
                <w:szCs w:val="21"/>
                <w:shd w:val="clear" w:color="auto" w:fill="F5F5F5"/>
              </w:rPr>
              <w:t xml:space="preserve"> </w:t>
            </w:r>
          </w:p>
        </w:tc>
        <w:tc>
          <w:tcPr>
            <w:tcW w:w="2972" w:type="dxa"/>
            <w:vMerge/>
            <w:vAlign w:val="center"/>
          </w:tcPr>
          <w:p w:rsidR="00962FF4" w:rsidRPr="00606B1E" w:rsidRDefault="00962FF4" w:rsidP="00081CE0">
            <w:pPr>
              <w:spacing w:line="276" w:lineRule="auto"/>
              <w:jc w:val="left"/>
              <w:rPr>
                <w:rFonts w:ascii="Arial" w:hAnsi="Arial" w:cs="Arial"/>
                <w:sz w:val="22"/>
              </w:rPr>
            </w:pPr>
          </w:p>
        </w:tc>
      </w:tr>
      <w:tr w:rsidR="00962FF4" w:rsidRPr="00606B1E" w:rsidTr="00B5517B">
        <w:trPr>
          <w:trHeight w:val="512"/>
        </w:trPr>
        <w:tc>
          <w:tcPr>
            <w:tcW w:w="575" w:type="dxa"/>
            <w:vAlign w:val="center"/>
          </w:tcPr>
          <w:p w:rsidR="00962FF4" w:rsidRPr="00606B1E" w:rsidRDefault="00962FF4" w:rsidP="00081CE0">
            <w:pPr>
              <w:spacing w:line="276" w:lineRule="auto"/>
              <w:ind w:right="27"/>
              <w:jc w:val="center"/>
              <w:rPr>
                <w:rFonts w:ascii="Arial" w:hAnsi="Arial" w:cs="Arial"/>
                <w:sz w:val="22"/>
              </w:rPr>
            </w:pPr>
            <w:r>
              <w:rPr>
                <w:noProof/>
              </w:rPr>
              <w:drawing>
                <wp:inline distT="0" distB="0" distL="0" distR="0" wp14:anchorId="494E7B76" wp14:editId="62E33947">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085" w:type="dxa"/>
            <w:gridSpan w:val="4"/>
            <w:vAlign w:val="center"/>
          </w:tcPr>
          <w:p w:rsidR="00962FF4" w:rsidRPr="00606B1E" w:rsidRDefault="00B5517B" w:rsidP="00081CE0">
            <w:pPr>
              <w:spacing w:line="276" w:lineRule="auto"/>
              <w:ind w:right="27"/>
              <w:jc w:val="left"/>
              <w:rPr>
                <w:rFonts w:ascii="Arial" w:hAnsi="Arial" w:cs="Arial"/>
                <w:sz w:val="22"/>
              </w:rPr>
            </w:pPr>
            <w:r>
              <w:rPr>
                <w:rFonts w:ascii="Arial" w:hAnsi="Arial" w:cs="Arial"/>
                <w:sz w:val="22"/>
              </w:rPr>
              <w:t>Tiếng Việt, Tiếng Anh</w:t>
            </w:r>
            <w:bookmarkStart w:id="0" w:name="_GoBack"/>
            <w:bookmarkEnd w:id="0"/>
          </w:p>
        </w:tc>
        <w:tc>
          <w:tcPr>
            <w:tcW w:w="2972" w:type="dxa"/>
            <w:vMerge/>
            <w:vAlign w:val="center"/>
          </w:tcPr>
          <w:p w:rsidR="00962FF4" w:rsidRPr="00606B1E" w:rsidRDefault="00962FF4" w:rsidP="00081CE0">
            <w:pPr>
              <w:spacing w:line="276" w:lineRule="auto"/>
              <w:jc w:val="left"/>
              <w:rPr>
                <w:rFonts w:ascii="Arial" w:hAnsi="Arial" w:cs="Arial"/>
                <w:sz w:val="22"/>
              </w:rPr>
            </w:pPr>
          </w:p>
        </w:tc>
      </w:tr>
      <w:tr w:rsidR="008D6A62" w:rsidRPr="008D6A62" w:rsidTr="00962FF4">
        <w:tc>
          <w:tcPr>
            <w:tcW w:w="9632" w:type="dxa"/>
            <w:gridSpan w:val="6"/>
          </w:tcPr>
          <w:p w:rsidR="008D6A62" w:rsidRPr="000C12F8" w:rsidRDefault="00362F85" w:rsidP="008D6A62">
            <w:pPr>
              <w:spacing w:line="276" w:lineRule="auto"/>
              <w:rPr>
                <w:rFonts w:ascii="Arial" w:hAnsi="Arial" w:cs="Arial"/>
                <w:sz w:val="20"/>
                <w:szCs w:val="20"/>
              </w:rPr>
            </w:pPr>
            <w:r w:rsidRPr="000C12F8">
              <w:rPr>
                <w:rFonts w:ascii="Arial" w:hAnsi="Arial" w:cs="Arial"/>
                <w:b/>
                <w:sz w:val="20"/>
                <w:szCs w:val="20"/>
                <w:u w:val="single"/>
              </w:rPr>
              <w:t>Đào tạo</w:t>
            </w:r>
          </w:p>
        </w:tc>
      </w:tr>
      <w:tr w:rsidR="008D6A62" w:rsidRPr="008D6A62" w:rsidTr="00B5517B">
        <w:tc>
          <w:tcPr>
            <w:tcW w:w="2340" w:type="dxa"/>
            <w:gridSpan w:val="2"/>
          </w:tcPr>
          <w:p w:rsidR="008D6A62" w:rsidRPr="000C12F8" w:rsidRDefault="00362F85" w:rsidP="00B5517B">
            <w:pPr>
              <w:spacing w:line="276" w:lineRule="auto"/>
              <w:jc w:val="center"/>
              <w:rPr>
                <w:rFonts w:ascii="Arial" w:hAnsi="Arial" w:cs="Arial"/>
                <w:sz w:val="20"/>
                <w:szCs w:val="20"/>
              </w:rPr>
            </w:pPr>
            <w:r w:rsidRPr="000C12F8">
              <w:rPr>
                <w:rFonts w:ascii="Arial" w:hAnsi="Arial" w:cs="Arial"/>
                <w:sz w:val="20"/>
                <w:szCs w:val="20"/>
              </w:rPr>
              <w:t>1980</w:t>
            </w:r>
          </w:p>
        </w:tc>
        <w:tc>
          <w:tcPr>
            <w:tcW w:w="7292" w:type="dxa"/>
            <w:gridSpan w:val="4"/>
          </w:tcPr>
          <w:p w:rsidR="008D6A62" w:rsidRPr="000C12F8" w:rsidRDefault="00362F85" w:rsidP="008D6A62">
            <w:pPr>
              <w:spacing w:line="276" w:lineRule="auto"/>
              <w:ind w:right="27"/>
              <w:rPr>
                <w:rFonts w:ascii="Arial" w:hAnsi="Arial" w:cs="Arial"/>
                <w:sz w:val="20"/>
                <w:szCs w:val="20"/>
              </w:rPr>
            </w:pPr>
            <w:r w:rsidRPr="000C12F8">
              <w:rPr>
                <w:rFonts w:ascii="Arial" w:hAnsi="Arial" w:cs="Arial"/>
                <w:sz w:val="20"/>
                <w:szCs w:val="20"/>
              </w:rPr>
              <w:t>Cử Nhân Luật, Đại Học Karl Marx, Đức</w:t>
            </w:r>
          </w:p>
        </w:tc>
      </w:tr>
      <w:tr w:rsidR="00362F85" w:rsidRPr="008D6A62" w:rsidTr="00B5517B">
        <w:tc>
          <w:tcPr>
            <w:tcW w:w="2340" w:type="dxa"/>
            <w:gridSpan w:val="2"/>
          </w:tcPr>
          <w:p w:rsidR="00362F85" w:rsidRPr="000C12F8" w:rsidRDefault="00362F85" w:rsidP="00B5517B">
            <w:pPr>
              <w:spacing w:line="276" w:lineRule="auto"/>
              <w:jc w:val="center"/>
              <w:rPr>
                <w:rFonts w:ascii="Arial" w:hAnsi="Arial" w:cs="Arial"/>
                <w:sz w:val="20"/>
                <w:szCs w:val="20"/>
              </w:rPr>
            </w:pPr>
            <w:r w:rsidRPr="000C12F8">
              <w:rPr>
                <w:rFonts w:ascii="Arial" w:hAnsi="Arial" w:cs="Arial"/>
                <w:sz w:val="20"/>
                <w:szCs w:val="20"/>
              </w:rPr>
              <w:t>1995</w:t>
            </w:r>
          </w:p>
        </w:tc>
        <w:tc>
          <w:tcPr>
            <w:tcW w:w="7292" w:type="dxa"/>
            <w:gridSpan w:val="4"/>
          </w:tcPr>
          <w:p w:rsidR="00362F85" w:rsidRPr="000C12F8" w:rsidRDefault="00362F85" w:rsidP="008D6A62">
            <w:pPr>
              <w:spacing w:line="276" w:lineRule="auto"/>
              <w:ind w:right="27"/>
              <w:rPr>
                <w:rFonts w:ascii="Arial" w:hAnsi="Arial" w:cs="Arial"/>
                <w:sz w:val="20"/>
                <w:szCs w:val="20"/>
              </w:rPr>
            </w:pPr>
            <w:r w:rsidRPr="000C12F8">
              <w:rPr>
                <w:rFonts w:ascii="Arial" w:hAnsi="Arial" w:cs="Arial"/>
                <w:sz w:val="20"/>
                <w:szCs w:val="20"/>
              </w:rPr>
              <w:t>Thạc sỹ Luật Đối Chiếu (MCJ), Đại Học New York (NYU) Hoa Kỳ</w:t>
            </w:r>
          </w:p>
        </w:tc>
      </w:tr>
      <w:tr w:rsidR="008D6A62" w:rsidRPr="008D6A62" w:rsidTr="00962FF4">
        <w:tc>
          <w:tcPr>
            <w:tcW w:w="9632" w:type="dxa"/>
            <w:gridSpan w:val="6"/>
          </w:tcPr>
          <w:p w:rsidR="008D6A62" w:rsidRPr="000C12F8" w:rsidRDefault="00C11D74" w:rsidP="008D6A62">
            <w:pPr>
              <w:spacing w:line="276" w:lineRule="auto"/>
              <w:rPr>
                <w:rFonts w:ascii="Arial" w:hAnsi="Arial" w:cs="Arial"/>
                <w:sz w:val="20"/>
                <w:szCs w:val="20"/>
              </w:rPr>
            </w:pPr>
            <w:r w:rsidRPr="000C12F8">
              <w:rPr>
                <w:rFonts w:ascii="Arial" w:hAnsi="Arial" w:cs="Arial"/>
                <w:b/>
                <w:sz w:val="20"/>
                <w:szCs w:val="20"/>
                <w:u w:val="single"/>
              </w:rPr>
              <w:t>Lĩnh vực tư vấn</w:t>
            </w:r>
          </w:p>
        </w:tc>
      </w:tr>
      <w:tr w:rsidR="00C11D74" w:rsidRPr="008D6A62" w:rsidTr="00962FF4">
        <w:tc>
          <w:tcPr>
            <w:tcW w:w="9632" w:type="dxa"/>
            <w:gridSpan w:val="6"/>
          </w:tcPr>
          <w:p w:rsidR="00C11D74" w:rsidRPr="000C12F8" w:rsidRDefault="00C11D74" w:rsidP="008D6A62">
            <w:pPr>
              <w:spacing w:line="276" w:lineRule="auto"/>
              <w:rPr>
                <w:rFonts w:ascii="Arial" w:hAnsi="Arial" w:cs="Arial"/>
                <w:sz w:val="20"/>
                <w:szCs w:val="20"/>
              </w:rPr>
            </w:pPr>
            <w:r w:rsidRPr="000C12F8">
              <w:rPr>
                <w:rFonts w:ascii="Arial" w:hAnsi="Arial" w:cs="Arial"/>
                <w:sz w:val="20"/>
                <w:szCs w:val="20"/>
              </w:rPr>
              <w:t>Giả</w:t>
            </w:r>
            <w:r w:rsidR="00962FF4">
              <w:rPr>
                <w:rFonts w:ascii="Arial" w:hAnsi="Arial" w:cs="Arial"/>
                <w:sz w:val="20"/>
                <w:szCs w:val="20"/>
              </w:rPr>
              <w:t>i q</w:t>
            </w:r>
            <w:r w:rsidRPr="000C12F8">
              <w:rPr>
                <w:rFonts w:ascii="Arial" w:hAnsi="Arial" w:cs="Arial"/>
                <w:sz w:val="20"/>
                <w:szCs w:val="20"/>
              </w:rPr>
              <w:t>uyế</w:t>
            </w:r>
            <w:r w:rsidR="00962FF4">
              <w:rPr>
                <w:rFonts w:ascii="Arial" w:hAnsi="Arial" w:cs="Arial"/>
                <w:sz w:val="20"/>
                <w:szCs w:val="20"/>
              </w:rPr>
              <w:t>t tranh c</w:t>
            </w:r>
            <w:r w:rsidRPr="000C12F8">
              <w:rPr>
                <w:rFonts w:ascii="Arial" w:hAnsi="Arial" w:cs="Arial"/>
                <w:sz w:val="20"/>
                <w:szCs w:val="20"/>
              </w:rPr>
              <w:t>hấp</w:t>
            </w:r>
            <w:r w:rsidR="00962FF4">
              <w:rPr>
                <w:rFonts w:ascii="Arial" w:hAnsi="Arial" w:cs="Arial"/>
                <w:sz w:val="20"/>
                <w:szCs w:val="20"/>
              </w:rPr>
              <w:t>, tranh tụng, trọng tài thương mại, doanh nghiệp, mua bán và sáp nhập, tài trợ dự án, đầu tư nước ngoài.</w:t>
            </w:r>
          </w:p>
        </w:tc>
      </w:tr>
      <w:tr w:rsidR="00B9177C" w:rsidRPr="008D6A62" w:rsidTr="00962FF4">
        <w:tc>
          <w:tcPr>
            <w:tcW w:w="9632" w:type="dxa"/>
            <w:gridSpan w:val="6"/>
          </w:tcPr>
          <w:p w:rsidR="00B9177C" w:rsidRPr="000C12F8" w:rsidRDefault="00CD7791" w:rsidP="008D6A62">
            <w:pPr>
              <w:spacing w:line="276" w:lineRule="auto"/>
              <w:rPr>
                <w:rFonts w:ascii="Arial" w:hAnsi="Arial" w:cs="Arial"/>
                <w:b/>
                <w:sz w:val="20"/>
                <w:szCs w:val="20"/>
                <w:u w:val="single"/>
              </w:rPr>
            </w:pPr>
            <w:r w:rsidRPr="000C12F8">
              <w:rPr>
                <w:rFonts w:ascii="Arial" w:hAnsi="Arial" w:cs="Arial"/>
                <w:b/>
                <w:sz w:val="20"/>
                <w:szCs w:val="20"/>
                <w:u w:val="single"/>
              </w:rPr>
              <w:t>Đoàn Luật sư và Hiệp hội Nghề nghiệp</w:t>
            </w:r>
          </w:p>
        </w:tc>
      </w:tr>
      <w:tr w:rsidR="00CD7791" w:rsidRPr="008D6A62" w:rsidTr="00962FF4">
        <w:tc>
          <w:tcPr>
            <w:tcW w:w="9632" w:type="dxa"/>
            <w:gridSpan w:val="6"/>
          </w:tcPr>
          <w:p w:rsidR="00CD7791" w:rsidRPr="000C12F8" w:rsidRDefault="00CD7791" w:rsidP="008D6A62">
            <w:pPr>
              <w:spacing w:line="276" w:lineRule="auto"/>
              <w:rPr>
                <w:rFonts w:ascii="Arial" w:hAnsi="Arial" w:cs="Arial"/>
                <w:b/>
                <w:sz w:val="20"/>
                <w:szCs w:val="20"/>
                <w:u w:val="single"/>
              </w:rPr>
            </w:pPr>
            <w:r w:rsidRPr="000C12F8">
              <w:rPr>
                <w:rFonts w:ascii="Arial" w:hAnsi="Arial" w:cs="Arial"/>
                <w:sz w:val="20"/>
                <w:szCs w:val="20"/>
              </w:rPr>
              <w:t>Liên Đoàn Luật Sư Việt Nam (Phó Chủ Tịch từ năm 2009)</w:t>
            </w:r>
          </w:p>
        </w:tc>
      </w:tr>
      <w:tr w:rsidR="00CD7791" w:rsidRPr="008D6A62" w:rsidTr="00962FF4">
        <w:tc>
          <w:tcPr>
            <w:tcW w:w="9632" w:type="dxa"/>
            <w:gridSpan w:val="6"/>
          </w:tcPr>
          <w:p w:rsidR="00CD7791" w:rsidRPr="000C12F8" w:rsidRDefault="00CD7791" w:rsidP="008D6A62">
            <w:pPr>
              <w:spacing w:line="276" w:lineRule="auto"/>
              <w:rPr>
                <w:rFonts w:ascii="Arial" w:hAnsi="Arial" w:cs="Arial"/>
                <w:b/>
                <w:sz w:val="20"/>
                <w:szCs w:val="20"/>
                <w:u w:val="single"/>
              </w:rPr>
            </w:pPr>
            <w:r w:rsidRPr="000C12F8">
              <w:rPr>
                <w:rFonts w:ascii="Arial" w:hAnsi="Arial" w:cs="Arial"/>
                <w:sz w:val="20"/>
                <w:szCs w:val="20"/>
              </w:rPr>
              <w:t>Đoàn Luật Sư Thành Phố Hồ Chí Minh (Phó Chủ Nhiệm từ năm 2008)</w:t>
            </w:r>
          </w:p>
        </w:tc>
      </w:tr>
      <w:tr w:rsidR="00CD7791" w:rsidRPr="008D6A62" w:rsidTr="00962FF4">
        <w:tc>
          <w:tcPr>
            <w:tcW w:w="9632" w:type="dxa"/>
            <w:gridSpan w:val="6"/>
          </w:tcPr>
          <w:p w:rsidR="00CD7791" w:rsidRPr="000C12F8" w:rsidRDefault="00CD7791" w:rsidP="008D6A62">
            <w:pPr>
              <w:spacing w:line="276" w:lineRule="auto"/>
              <w:rPr>
                <w:rFonts w:ascii="Arial" w:hAnsi="Arial" w:cs="Arial"/>
                <w:b/>
                <w:sz w:val="20"/>
                <w:szCs w:val="20"/>
                <w:u w:val="single"/>
              </w:rPr>
            </w:pPr>
            <w:r w:rsidRPr="000C12F8">
              <w:rPr>
                <w:rFonts w:ascii="Arial" w:hAnsi="Arial" w:cs="Arial"/>
                <w:sz w:val="20"/>
                <w:szCs w:val="20"/>
              </w:rPr>
              <w:t>Ủy Viên Dự Khuyết (Đại Diện Cho Việt Nam) của Hội Đồng LAWASIA</w:t>
            </w:r>
          </w:p>
        </w:tc>
      </w:tr>
      <w:tr w:rsidR="00CD7791" w:rsidRPr="008D6A62" w:rsidTr="00962FF4">
        <w:tc>
          <w:tcPr>
            <w:tcW w:w="9632" w:type="dxa"/>
            <w:gridSpan w:val="6"/>
          </w:tcPr>
          <w:p w:rsidR="00CD7791" w:rsidRPr="000C12F8" w:rsidRDefault="00CD7791" w:rsidP="008D6A62">
            <w:pPr>
              <w:spacing w:line="276" w:lineRule="auto"/>
              <w:rPr>
                <w:rFonts w:ascii="Arial" w:hAnsi="Arial" w:cs="Arial"/>
                <w:b/>
                <w:sz w:val="20"/>
                <w:szCs w:val="20"/>
                <w:u w:val="single"/>
              </w:rPr>
            </w:pPr>
            <w:r w:rsidRPr="000C12F8">
              <w:rPr>
                <w:rFonts w:ascii="Arial" w:hAnsi="Arial" w:cs="Arial"/>
                <w:sz w:val="20"/>
                <w:szCs w:val="20"/>
              </w:rPr>
              <w:t>Hiệp Hội Luật Sư Châu Á – Thái Bình Dương</w:t>
            </w:r>
          </w:p>
        </w:tc>
      </w:tr>
      <w:tr w:rsidR="00CD7791" w:rsidRPr="008D6A62" w:rsidTr="00962FF4">
        <w:tc>
          <w:tcPr>
            <w:tcW w:w="9632" w:type="dxa"/>
            <w:gridSpan w:val="6"/>
          </w:tcPr>
          <w:p w:rsidR="00CD7791" w:rsidRPr="000C12F8" w:rsidRDefault="00CD7791" w:rsidP="008D6A62">
            <w:pPr>
              <w:spacing w:line="276" w:lineRule="auto"/>
              <w:rPr>
                <w:rFonts w:ascii="Arial" w:hAnsi="Arial" w:cs="Arial"/>
                <w:b/>
                <w:sz w:val="20"/>
                <w:szCs w:val="20"/>
                <w:u w:val="single"/>
              </w:rPr>
            </w:pPr>
            <w:r w:rsidRPr="000C12F8">
              <w:rPr>
                <w:rFonts w:ascii="Arial" w:hAnsi="Arial" w:cs="Arial"/>
                <w:sz w:val="20"/>
                <w:szCs w:val="20"/>
              </w:rPr>
              <w:t>Trọng Tài Viên của Trung Tâm Trọng Tài Quốc Tế Việt Nam (VIAC)</w:t>
            </w:r>
          </w:p>
        </w:tc>
      </w:tr>
      <w:tr w:rsidR="00CD7791" w:rsidRPr="008D6A62" w:rsidTr="00962FF4">
        <w:tc>
          <w:tcPr>
            <w:tcW w:w="9632" w:type="dxa"/>
            <w:gridSpan w:val="6"/>
          </w:tcPr>
          <w:p w:rsidR="00CD7791" w:rsidRPr="000C12F8" w:rsidRDefault="00C23733" w:rsidP="008D6A62">
            <w:pPr>
              <w:spacing w:line="276" w:lineRule="auto"/>
              <w:rPr>
                <w:rFonts w:ascii="Arial" w:hAnsi="Arial" w:cs="Arial"/>
                <w:b/>
                <w:sz w:val="20"/>
                <w:szCs w:val="20"/>
                <w:u w:val="single"/>
              </w:rPr>
            </w:pPr>
            <w:r w:rsidRPr="000C12F8">
              <w:rPr>
                <w:rFonts w:ascii="Arial" w:hAnsi="Arial" w:cs="Arial"/>
                <w:b/>
                <w:sz w:val="20"/>
                <w:szCs w:val="20"/>
                <w:u w:val="single"/>
              </w:rPr>
              <w:t>Kinh nghiệm tư vấn</w:t>
            </w:r>
          </w:p>
        </w:tc>
      </w:tr>
      <w:tr w:rsidR="00CD7791" w:rsidRPr="008D6A62" w:rsidTr="00962FF4">
        <w:tc>
          <w:tcPr>
            <w:tcW w:w="9632" w:type="dxa"/>
            <w:gridSpan w:val="6"/>
          </w:tcPr>
          <w:p w:rsidR="001A601A" w:rsidRPr="000C12F8" w:rsidRDefault="00C23733" w:rsidP="008D6A62">
            <w:pPr>
              <w:spacing w:line="276" w:lineRule="auto"/>
              <w:rPr>
                <w:rFonts w:ascii="Arial" w:hAnsi="Arial" w:cs="Arial"/>
                <w:sz w:val="20"/>
                <w:szCs w:val="20"/>
              </w:rPr>
            </w:pPr>
            <w:r w:rsidRPr="000C12F8">
              <w:rPr>
                <w:rFonts w:ascii="Arial" w:hAnsi="Arial" w:cs="Arial"/>
                <w:sz w:val="20"/>
                <w:szCs w:val="20"/>
              </w:rPr>
              <w:t xml:space="preserve">Luật sư Trương Trọng Nghĩa là một trong các luật sư chịu trách nhiệm chính về lĩnh vực tranh tụng của YKVN và được công nhận là một trong những luật sư giàu kinh nghiệm nhất của Việt Nam về lĩnh vực tranh tụng với hơn 25 năm hoạt động về tố tụng và trọng tài. Luật sư Nghĩa cũng thường xuyên tư vấn về vấn đề doanh nghiệp, thương mại, đầu tư nước ngoài và mua bán và sáp nhập cho nhiều doanh nghiệp trong nước và nước ngoài. Các khách hàng của luật sư Nghĩa là các doanh nghiệp lớn tại Việt Nam, bao gồm VNPT, Tổng Công Ty Thép Việt Nam, BIDV, Saigon Petro, Satra, Sovico and Saigon Coop, cũng như các doanh nghiệp có vốn đầu tư nước ngoài và các công ty đa quốc gia như Exxon Mobil, American Coffee, </w:t>
            </w:r>
            <w:r w:rsidRPr="000C12F8">
              <w:rPr>
                <w:rFonts w:ascii="Arial" w:hAnsi="Arial" w:cs="Arial"/>
                <w:sz w:val="20"/>
                <w:szCs w:val="20"/>
              </w:rPr>
              <w:lastRenderedPageBreak/>
              <w:t xml:space="preserve">Bachy Soletance, Planergo, Pico, P&amp;G, Metro Cash &amp; Carry, RMIT, Academic Colleges Group, Ngân Hàng Đầu Tư Châu Âu (EIB), Standard Chartered Bank, Indochina Capital, Richmond Group and AGS. </w:t>
            </w:r>
          </w:p>
          <w:p w:rsidR="001A601A" w:rsidRPr="000C12F8" w:rsidRDefault="00C23733" w:rsidP="008D6A62">
            <w:pPr>
              <w:spacing w:line="276" w:lineRule="auto"/>
              <w:rPr>
                <w:rFonts w:ascii="Arial" w:hAnsi="Arial" w:cs="Arial"/>
                <w:sz w:val="20"/>
                <w:szCs w:val="20"/>
              </w:rPr>
            </w:pPr>
            <w:r w:rsidRPr="000C12F8">
              <w:rPr>
                <w:rFonts w:ascii="Arial" w:hAnsi="Arial" w:cs="Arial"/>
                <w:sz w:val="20"/>
                <w:szCs w:val="20"/>
              </w:rPr>
              <w:t xml:space="preserve">Luật sư Nghĩa được tạp chí Legal 500 đề cử là luật sư hàng đầu trong lĩnh vực giải quyết tranh chấp (2009-2010). Tổ chức Chambers &amp; Partners (2011) nhận xét: Trương Trọng Nghĩa là một trong “những luật sư trụ cột của cộng đồng luật pháp Việt Nam trong nhiều năm qua”, là một “luật sư tranh tụng rất nổi tiếng và giàu kinh nghiệm thường được tìm đến để tư vấn những vụ kiện phức tạp nhất”. Tổ chức Chambers &amp; Partners (2012) nhận định rằng Trương Trọng Nghĩa là “luật sư kỳ cựu trong cộng đồng luật pháp Việt Nam và thường được tìm đến để tư vấn trong những vụ kiện phức tạp”. Asia Law Profiles (2012) đã nhắc đến Luật sư Nghĩa như là một trong những “luật sư tranh tụng được tôn trọng và thành công nhất tại Việt Nam”. Luật sư Nghĩa được Chambers &amp; Partners xếp Hạng 1 trong lĩnh vực Giải Quyết Tranh Chấp trong năm 2011, 2012, 2013 and 2014. </w:t>
            </w:r>
          </w:p>
          <w:p w:rsidR="00CD7791" w:rsidRPr="000C12F8" w:rsidRDefault="00C23733" w:rsidP="008D6A62">
            <w:pPr>
              <w:spacing w:line="276" w:lineRule="auto"/>
              <w:rPr>
                <w:rFonts w:ascii="Arial" w:hAnsi="Arial" w:cs="Arial"/>
                <w:sz w:val="20"/>
                <w:szCs w:val="20"/>
              </w:rPr>
            </w:pPr>
            <w:r w:rsidRPr="000C12F8">
              <w:rPr>
                <w:rFonts w:ascii="Arial" w:hAnsi="Arial" w:cs="Arial"/>
                <w:sz w:val="20"/>
                <w:szCs w:val="20"/>
              </w:rPr>
              <w:t>Là một trong những người Việt Nam đầu tiên nhận được học bổng Fulbright và đã tốt nghiệp Thạc sỹ Luật Đối Chiếu (MCJ), Đại Học New York (NYU) Hoa Kỳ, luật sư Nghĩa còn là một trong những lãnh đạo của luật sư Việt Nam. Luật sư Nghĩa hiện là Phó Chủ Tịch Liên Đoàn Luật Sư Việt Nam kiêm Phó Chủ Nhiệm Đoàn Luật Sư Thành Phố Hồ Chí Minh. Luật sư Nghĩa là cựu thành viên Ban Nghiên Cứu của Thủ Tướng Chính Phủ, cựu Giám Đốc Trung Tâm Xúc Tiến Thương Mại Đầu Tư Thành Phố Hồ Chí Minh (ITPC). Luật sư Nghĩa đã được bầu vào Quốc Hội Việt Nam nhiệm kỳ 2011 – 2016 vào tháng 5 năm 2011. Là đại biểu Quốc hội duy nhất đang hành nghề luật sư, Luật sư Nghĩa đã được bầu vào Ủy Ban Tư Pháp của Quốc Hội.</w:t>
            </w:r>
          </w:p>
        </w:tc>
      </w:tr>
      <w:tr w:rsidR="00CD7791" w:rsidRPr="008D6A62" w:rsidTr="00962FF4">
        <w:tc>
          <w:tcPr>
            <w:tcW w:w="9632" w:type="dxa"/>
            <w:gridSpan w:val="6"/>
          </w:tcPr>
          <w:p w:rsidR="00CD7791" w:rsidRPr="000C12F8" w:rsidRDefault="003618A2" w:rsidP="008D6A62">
            <w:pPr>
              <w:spacing w:line="276" w:lineRule="auto"/>
              <w:rPr>
                <w:rFonts w:ascii="Arial" w:hAnsi="Arial" w:cs="Arial"/>
                <w:b/>
                <w:sz w:val="20"/>
                <w:szCs w:val="20"/>
                <w:u w:val="single"/>
              </w:rPr>
            </w:pPr>
            <w:r w:rsidRPr="000C12F8">
              <w:rPr>
                <w:rFonts w:ascii="Arial" w:hAnsi="Arial" w:cs="Arial"/>
                <w:b/>
                <w:sz w:val="20"/>
                <w:szCs w:val="20"/>
                <w:u w:val="single"/>
              </w:rPr>
              <w:lastRenderedPageBreak/>
              <w:t>Các giao dịch tiêu biểu</w:t>
            </w:r>
          </w:p>
        </w:tc>
      </w:tr>
      <w:tr w:rsidR="00B9177C" w:rsidRPr="008D6A62" w:rsidTr="00962FF4">
        <w:tc>
          <w:tcPr>
            <w:tcW w:w="9632" w:type="dxa"/>
            <w:gridSpan w:val="6"/>
          </w:tcPr>
          <w:p w:rsidR="00B9177C" w:rsidRPr="000C12F8" w:rsidRDefault="003618A2" w:rsidP="008D6A62">
            <w:pPr>
              <w:spacing w:line="276" w:lineRule="auto"/>
              <w:rPr>
                <w:rFonts w:ascii="Arial" w:hAnsi="Arial" w:cs="Arial"/>
                <w:i/>
                <w:sz w:val="20"/>
                <w:szCs w:val="20"/>
                <w:u w:val="single"/>
              </w:rPr>
            </w:pPr>
            <w:r w:rsidRPr="000C12F8">
              <w:rPr>
                <w:rFonts w:ascii="Arial" w:hAnsi="Arial" w:cs="Arial"/>
                <w:i/>
                <w:sz w:val="20"/>
                <w:szCs w:val="20"/>
                <w:u w:val="single"/>
              </w:rPr>
              <w:t>Giải quyết Tranh chấp/ Tranh tụng</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Đại diện cho SATRA, một trong những tập đoàn thương mại lớn nhất Việt Nam, trong việc giải quyết một tranh chấp thương mại trị giá nhiều triệu Đô la Mỹ với kết quả thắng lợi ở cấp sơ thẩm và phúc thẩm.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Tư vấn cho một công ty đầu tư nước ngoài trong một dự án hạ tầng lớn với vốn đầu tư trên 300 triệu đô la Mỹ, yêu cầu chính quyền điều chỉnh tổng mức đầu tư của hợp đồng BOT và B, kết quả tổng mức đầu tư được tăng trên 1.200 tỷ đồng so với mức phê duyệt ban đầu.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Tư vấn cho nhà đầu tư nước ngoài của một khách sạn 5 sao tại Thành Phố Hồ Chí Minh bị khởi tố về trốn thuế trong một tranh chấp phức tạp với đối tác BCC trong nước và cơ quan thuế, kết quả vụ việc đã đình chỉ điều tra và đang chuyển thành công ty liên doanh.</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Tư vấn cho Công Ty Pico trong việc giải quyết tranh chấp với đối tác Việt Nam về việc giải thể và phân chia tài sản còn lại của liên doanh.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Đại diện cho một cổ đông lớn của VCCT, một công ty vận hành dự án cáp treo lớn trị giá hàng chục triệu Đô la Mỹ, và giúp thắng kiện trong một tranh chấp giữa các cổ đông.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Đại diện cho một quỹ nước ngoài lớn tại Việt Nam trong một vụ việc trọng tài liên quan đến giao dịch mua lại cổ phần trị giá hàng chục triệu Đô la Mỹ theo hợp đồng đăng ký mua cổ phần với một công ty cổ phần Việt Nam.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Tư vấn cho công ty con của RMIT, P&amp;G và METRO tại Việt Nam trong việc giải quyết các tranh chấp về lao động, thương mại và quyền sử dụng đất.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Đại diện cho Exxon Mobil trước Tòa Kinh Tế Thành Phố Hồ Chí Minh và Tòa Án Tối Cao trong các tranh chấp phát sinh từ một hợp đồng phân phối khí dài hạn (phán quyết chung thẩm của Tòa Án Tối Cao đã giữ nguyên bản án sơ thẩm chấp thuận yêu cầu của Exxon Mobil). </w:t>
            </w:r>
          </w:p>
          <w:p w:rsidR="003618A2" w:rsidRPr="000C12F8" w:rsidRDefault="003618A2"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Đại diện cho American Coffee trước Tòa Án Kinh Tế Thành Phố Hồ Chí Minh yêu cầu một công ty cà phê Việt Nam bồi thường thiệt hại theo hợp đồng (một trong những công ty nước ngoài đầu tiên được bồi thường thiệt hại bằng phán quyết của tòa án Việt Nam).</w:t>
            </w:r>
          </w:p>
        </w:tc>
      </w:tr>
      <w:tr w:rsidR="00372C1D" w:rsidRPr="008D6A62" w:rsidTr="00962FF4">
        <w:tc>
          <w:tcPr>
            <w:tcW w:w="9632" w:type="dxa"/>
            <w:gridSpan w:val="6"/>
          </w:tcPr>
          <w:p w:rsidR="00372C1D" w:rsidRPr="000C12F8" w:rsidRDefault="00372C1D" w:rsidP="008D6A62">
            <w:pPr>
              <w:spacing w:line="276" w:lineRule="auto"/>
              <w:rPr>
                <w:rFonts w:ascii="Arial" w:hAnsi="Arial" w:cs="Arial"/>
                <w:i/>
                <w:sz w:val="20"/>
                <w:szCs w:val="20"/>
                <w:u w:val="single"/>
              </w:rPr>
            </w:pPr>
            <w:r w:rsidRPr="000C12F8">
              <w:rPr>
                <w:rFonts w:ascii="Arial" w:hAnsi="Arial" w:cs="Arial"/>
                <w:i/>
                <w:sz w:val="20"/>
                <w:szCs w:val="20"/>
                <w:u w:val="single"/>
              </w:rPr>
              <w:lastRenderedPageBreak/>
              <w:t>Mua bán &amp; Sáp nhập, Tài trợ Dự án và Đầu tư Nước ngoài</w:t>
            </w:r>
          </w:p>
          <w:p w:rsidR="00372C1D" w:rsidRPr="000C12F8" w:rsidRDefault="00372C1D"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Tư vấn cho Ngân Hàng Đầu Tư Châu Âu trong một giao dịch tài trợ nhiều triệu Đô la Mỹ cho một công ty đa quốc gia liên quan đến việc mở rộng hoạt động của công ty này tại Việt Nam. </w:t>
            </w:r>
          </w:p>
          <w:p w:rsidR="00372C1D" w:rsidRPr="000C12F8" w:rsidRDefault="00372C1D"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Tư vấn cho BIDV trong một giao dịch tài trợ nhiều triệu Đô la Mỹ cho một dự án bất động sản lớn do một quỹ đầu tư nước ngoài đầu tư. </w:t>
            </w:r>
          </w:p>
          <w:p w:rsidR="00372C1D" w:rsidRPr="000C12F8" w:rsidRDefault="00372C1D"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Tư vấn cho một trong những quỹ đầu tư nước ngoài lớn nhất tại Việt Nam trong một giao dịch mua bán cổ phần riêng lẻ, mà quỹ này đã mua phần lớn cổ phần của một công ty viễn thông tại Việt Nam. </w:t>
            </w:r>
          </w:p>
          <w:p w:rsidR="00372C1D" w:rsidRPr="000C12F8" w:rsidRDefault="00372C1D"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Tư vấn cho Công Ty Quảng Cáo Sài Gòn trong việc thành lập một liên doanh với một công ty quảng cáo hàng đầu của Nhật Bản.</w:t>
            </w:r>
          </w:p>
        </w:tc>
      </w:tr>
      <w:tr w:rsidR="00372C1D" w:rsidRPr="008D6A62" w:rsidTr="00962FF4">
        <w:tc>
          <w:tcPr>
            <w:tcW w:w="9632" w:type="dxa"/>
            <w:gridSpan w:val="6"/>
          </w:tcPr>
          <w:p w:rsidR="00372C1D" w:rsidRPr="000C12F8" w:rsidRDefault="00372C1D" w:rsidP="008D6A62">
            <w:pPr>
              <w:spacing w:line="276" w:lineRule="auto"/>
              <w:rPr>
                <w:rFonts w:ascii="Arial" w:hAnsi="Arial" w:cs="Arial"/>
                <w:i/>
                <w:sz w:val="20"/>
                <w:szCs w:val="20"/>
                <w:u w:val="single"/>
              </w:rPr>
            </w:pPr>
            <w:r w:rsidRPr="000C12F8">
              <w:rPr>
                <w:rFonts w:ascii="Arial" w:hAnsi="Arial" w:cs="Arial"/>
                <w:i/>
                <w:sz w:val="20"/>
                <w:szCs w:val="20"/>
                <w:u w:val="single"/>
              </w:rPr>
              <w:t>Hoạt động Trọng tài</w:t>
            </w:r>
          </w:p>
          <w:p w:rsidR="00293911" w:rsidRPr="000C12F8" w:rsidRDefault="00372C1D"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 xml:space="preserve">Là trọng tài viên xét xử một số vụ tranh chấp về thương mại, bảo hiểm và xây dựng. </w:t>
            </w:r>
          </w:p>
          <w:p w:rsidR="00372C1D" w:rsidRPr="000C12F8" w:rsidRDefault="00372C1D" w:rsidP="00F24206">
            <w:pPr>
              <w:pStyle w:val="ListParagraph"/>
              <w:numPr>
                <w:ilvl w:val="0"/>
                <w:numId w:val="4"/>
              </w:numPr>
              <w:ind w:left="710" w:right="27"/>
              <w:rPr>
                <w:rFonts w:ascii="Arial" w:hAnsi="Arial" w:cs="Arial"/>
                <w:sz w:val="20"/>
                <w:szCs w:val="20"/>
              </w:rPr>
            </w:pPr>
            <w:r w:rsidRPr="000C12F8">
              <w:rPr>
                <w:rFonts w:ascii="Arial" w:hAnsi="Arial" w:cs="Arial"/>
                <w:sz w:val="20"/>
                <w:szCs w:val="20"/>
              </w:rPr>
              <w:t>Là chủ tịch hội đồng trọng tài xét xử bằng tiếng Anh một số vụ tranh chấp qua biên giới phức tạp về hàng hải và hợp đồng xây dựng FIDIC.</w:t>
            </w:r>
          </w:p>
        </w:tc>
      </w:tr>
      <w:tr w:rsidR="008D6A62" w:rsidRPr="008D6A62" w:rsidTr="00962FF4">
        <w:tc>
          <w:tcPr>
            <w:tcW w:w="9632" w:type="dxa"/>
            <w:gridSpan w:val="6"/>
          </w:tcPr>
          <w:p w:rsidR="008D6A62" w:rsidRPr="000C12F8" w:rsidRDefault="00F24206" w:rsidP="008D6A62">
            <w:pPr>
              <w:spacing w:line="276" w:lineRule="auto"/>
              <w:rPr>
                <w:rFonts w:ascii="Arial" w:hAnsi="Arial" w:cs="Arial"/>
                <w:sz w:val="20"/>
                <w:szCs w:val="20"/>
              </w:rPr>
            </w:pPr>
            <w:r>
              <w:rPr>
                <w:rFonts w:ascii="Arial" w:hAnsi="Arial" w:cs="Arial"/>
                <w:b/>
                <w:sz w:val="20"/>
                <w:szCs w:val="20"/>
                <w:u w:val="single"/>
              </w:rPr>
              <w:t xml:space="preserve">Khen thưởng, </w:t>
            </w:r>
            <w:r w:rsidR="00293911" w:rsidRPr="000C12F8">
              <w:rPr>
                <w:rFonts w:ascii="Arial" w:hAnsi="Arial" w:cs="Arial"/>
                <w:b/>
                <w:sz w:val="20"/>
                <w:szCs w:val="20"/>
                <w:u w:val="single"/>
              </w:rPr>
              <w:t>Xếp hạng Quốc tế, Tác phẩm và Giảng dạy</w:t>
            </w:r>
          </w:p>
        </w:tc>
      </w:tr>
      <w:tr w:rsidR="00293911" w:rsidRPr="008D6A62" w:rsidTr="00962FF4">
        <w:tc>
          <w:tcPr>
            <w:tcW w:w="9632" w:type="dxa"/>
            <w:gridSpan w:val="6"/>
          </w:tcPr>
          <w:p w:rsidR="00293911" w:rsidRPr="000C12F8" w:rsidRDefault="00054291" w:rsidP="00F24206">
            <w:pPr>
              <w:ind w:right="27"/>
              <w:rPr>
                <w:rFonts w:ascii="Arial" w:hAnsi="Arial" w:cs="Arial"/>
                <w:i/>
                <w:sz w:val="20"/>
                <w:szCs w:val="20"/>
                <w:u w:val="single"/>
              </w:rPr>
            </w:pPr>
            <w:r w:rsidRPr="000C12F8">
              <w:rPr>
                <w:rFonts w:ascii="Arial" w:hAnsi="Arial" w:cs="Arial"/>
                <w:i/>
                <w:sz w:val="20"/>
                <w:szCs w:val="20"/>
                <w:u w:val="single"/>
              </w:rPr>
              <w:t>Xếp hạng Quốc tế</w:t>
            </w:r>
          </w:p>
          <w:p w:rsidR="00054291" w:rsidRPr="00F24206" w:rsidRDefault="00054291" w:rsidP="00F24206">
            <w:pPr>
              <w:pStyle w:val="ListParagraph"/>
              <w:numPr>
                <w:ilvl w:val="0"/>
                <w:numId w:val="4"/>
              </w:numPr>
              <w:ind w:left="710" w:right="27"/>
              <w:rPr>
                <w:rFonts w:ascii="Arial" w:hAnsi="Arial" w:cs="Arial"/>
                <w:sz w:val="20"/>
                <w:szCs w:val="20"/>
              </w:rPr>
            </w:pPr>
            <w:r w:rsidRPr="00F24206">
              <w:rPr>
                <w:rFonts w:ascii="Arial" w:hAnsi="Arial" w:cs="Arial"/>
                <w:sz w:val="20"/>
                <w:szCs w:val="20"/>
              </w:rPr>
              <w:t xml:space="preserve">Legal 500 (2009-2010): “Nên sử dụng dịch vụ”. </w:t>
            </w:r>
          </w:p>
          <w:p w:rsidR="00054291" w:rsidRPr="00F24206" w:rsidRDefault="00054291" w:rsidP="00F24206">
            <w:pPr>
              <w:pStyle w:val="ListParagraph"/>
              <w:numPr>
                <w:ilvl w:val="0"/>
                <w:numId w:val="4"/>
              </w:numPr>
              <w:ind w:left="710" w:right="27"/>
              <w:rPr>
                <w:rFonts w:ascii="Arial" w:hAnsi="Arial" w:cs="Arial"/>
                <w:sz w:val="20"/>
                <w:szCs w:val="20"/>
              </w:rPr>
            </w:pPr>
            <w:r w:rsidRPr="00F24206">
              <w:rPr>
                <w:rFonts w:ascii="Arial" w:hAnsi="Arial" w:cs="Arial"/>
                <w:sz w:val="20"/>
                <w:szCs w:val="20"/>
              </w:rPr>
              <w:t xml:space="preserve">Chambers &amp; Partners (2011): một trong “những luật sư trụ cột của cộng đồng luật pháp Việt Nam trong nhiều năm qua”, một “luật sư tranh tụng rất nổi tiếng và giàu kinh nghiệm thường được tìm đến để tư vấn những vụ kiện phức tạp nhất”. </w:t>
            </w:r>
          </w:p>
          <w:p w:rsidR="00054291" w:rsidRPr="00F24206" w:rsidRDefault="00054291" w:rsidP="00F24206">
            <w:pPr>
              <w:pStyle w:val="ListParagraph"/>
              <w:numPr>
                <w:ilvl w:val="0"/>
                <w:numId w:val="4"/>
              </w:numPr>
              <w:ind w:left="710" w:right="27"/>
              <w:rPr>
                <w:rFonts w:ascii="Arial" w:hAnsi="Arial" w:cs="Arial"/>
                <w:sz w:val="20"/>
                <w:szCs w:val="20"/>
              </w:rPr>
            </w:pPr>
            <w:r w:rsidRPr="00F24206">
              <w:rPr>
                <w:rFonts w:ascii="Arial" w:hAnsi="Arial" w:cs="Arial"/>
                <w:sz w:val="20"/>
                <w:szCs w:val="20"/>
              </w:rPr>
              <w:t xml:space="preserve">Chambers &amp; Partners (2012): “một luật sư kỳ cựu trong cộng đồng luật pháp Việt Nam và thường được tìm đến để tư vấn trong những vụ kiện phức tạp”. </w:t>
            </w:r>
          </w:p>
          <w:p w:rsidR="00054291" w:rsidRPr="00F24206" w:rsidRDefault="00054291" w:rsidP="00F24206">
            <w:pPr>
              <w:pStyle w:val="ListParagraph"/>
              <w:numPr>
                <w:ilvl w:val="0"/>
                <w:numId w:val="4"/>
              </w:numPr>
              <w:ind w:left="710" w:right="27"/>
              <w:rPr>
                <w:rFonts w:ascii="Arial" w:hAnsi="Arial" w:cs="Arial"/>
                <w:sz w:val="20"/>
                <w:szCs w:val="20"/>
              </w:rPr>
            </w:pPr>
            <w:r w:rsidRPr="00F24206">
              <w:rPr>
                <w:rFonts w:ascii="Arial" w:hAnsi="Arial" w:cs="Arial"/>
                <w:sz w:val="20"/>
                <w:szCs w:val="20"/>
              </w:rPr>
              <w:t xml:space="preserve">Asia Law Profiles (2012): một trong những “luật sư tranh tụng được tôn trọng và thành công nhất tại Việt Nam”, một trong những “luật sư tranh tụng giàu kinh nghiệm nhất của Việt Nam”. </w:t>
            </w:r>
          </w:p>
          <w:p w:rsidR="00054291" w:rsidRPr="00F24206" w:rsidRDefault="00054291" w:rsidP="00F24206">
            <w:pPr>
              <w:pStyle w:val="ListParagraph"/>
              <w:numPr>
                <w:ilvl w:val="0"/>
                <w:numId w:val="4"/>
              </w:numPr>
              <w:ind w:left="710" w:right="27"/>
              <w:rPr>
                <w:rFonts w:ascii="Arial" w:hAnsi="Arial" w:cs="Arial"/>
                <w:sz w:val="20"/>
                <w:szCs w:val="20"/>
              </w:rPr>
            </w:pPr>
            <w:r w:rsidRPr="00F24206">
              <w:rPr>
                <w:rFonts w:ascii="Arial" w:hAnsi="Arial" w:cs="Arial"/>
                <w:sz w:val="20"/>
                <w:szCs w:val="20"/>
              </w:rPr>
              <w:t xml:space="preserve">Chambers &amp; Partners (2013): “hết sức thông tuệ về thực tiễn tố tụng của hệ thống tòa án”, đồng thời “đầu tư nhiều tâm trí vào chiến lược tố tụng”. </w:t>
            </w:r>
          </w:p>
          <w:p w:rsidR="00054291" w:rsidRPr="00F24206" w:rsidRDefault="00054291" w:rsidP="00F24206">
            <w:pPr>
              <w:pStyle w:val="ListParagraph"/>
              <w:numPr>
                <w:ilvl w:val="0"/>
                <w:numId w:val="4"/>
              </w:numPr>
              <w:ind w:left="710" w:right="27"/>
              <w:rPr>
                <w:rFonts w:ascii="Arial" w:hAnsi="Arial" w:cs="Arial"/>
                <w:sz w:val="20"/>
                <w:szCs w:val="20"/>
              </w:rPr>
            </w:pPr>
            <w:r w:rsidRPr="00F24206">
              <w:rPr>
                <w:rFonts w:ascii="Arial" w:hAnsi="Arial" w:cs="Arial"/>
                <w:sz w:val="20"/>
                <w:szCs w:val="20"/>
              </w:rPr>
              <w:t>Xếp hạng của Chambers &amp; Partners (2011, 2012, 2013, 2014): Hạng 1 trong lĩnh vực Giải Quyết Tranh Chấp.</w:t>
            </w:r>
          </w:p>
        </w:tc>
      </w:tr>
      <w:tr w:rsidR="00054291" w:rsidRPr="008D6A62" w:rsidTr="00962FF4">
        <w:tc>
          <w:tcPr>
            <w:tcW w:w="9632" w:type="dxa"/>
            <w:gridSpan w:val="6"/>
          </w:tcPr>
          <w:p w:rsidR="00054291" w:rsidRPr="000C12F8" w:rsidRDefault="00054291" w:rsidP="00F24206">
            <w:pPr>
              <w:rPr>
                <w:rFonts w:ascii="Arial" w:hAnsi="Arial" w:cs="Arial"/>
                <w:i/>
                <w:sz w:val="20"/>
                <w:szCs w:val="20"/>
                <w:u w:val="single"/>
              </w:rPr>
            </w:pPr>
            <w:r w:rsidRPr="000C12F8">
              <w:rPr>
                <w:rFonts w:ascii="Arial" w:hAnsi="Arial" w:cs="Arial"/>
                <w:i/>
                <w:sz w:val="20"/>
                <w:szCs w:val="20"/>
                <w:u w:val="single"/>
              </w:rPr>
              <w:t>Tác phẩm</w:t>
            </w:r>
          </w:p>
          <w:p w:rsidR="000C12F8" w:rsidRPr="000C12F8" w:rsidRDefault="000C12F8" w:rsidP="00F24206">
            <w:pPr>
              <w:pStyle w:val="ListParagraph"/>
              <w:numPr>
                <w:ilvl w:val="0"/>
                <w:numId w:val="1"/>
              </w:numPr>
              <w:rPr>
                <w:rFonts w:ascii="Arial" w:hAnsi="Arial" w:cs="Arial"/>
                <w:sz w:val="20"/>
                <w:szCs w:val="20"/>
              </w:rPr>
            </w:pPr>
            <w:r w:rsidRPr="000C12F8">
              <w:rPr>
                <w:rFonts w:ascii="Arial" w:hAnsi="Arial" w:cs="Arial"/>
                <w:sz w:val="20"/>
                <w:szCs w:val="20"/>
              </w:rPr>
              <w:t xml:space="preserve">Trọng Tài Kinh Tế Ở Việt Nam, Nhà Xuất Bản Thành Phố Hồ Chí Minh (1988). </w:t>
            </w:r>
          </w:p>
          <w:p w:rsidR="000C12F8" w:rsidRPr="000C12F8" w:rsidRDefault="000C12F8" w:rsidP="00F24206">
            <w:pPr>
              <w:pStyle w:val="ListParagraph"/>
              <w:numPr>
                <w:ilvl w:val="0"/>
                <w:numId w:val="1"/>
              </w:numPr>
              <w:rPr>
                <w:rFonts w:ascii="Arial" w:hAnsi="Arial" w:cs="Arial"/>
                <w:sz w:val="20"/>
                <w:szCs w:val="20"/>
              </w:rPr>
            </w:pPr>
            <w:r w:rsidRPr="000C12F8">
              <w:rPr>
                <w:rFonts w:ascii="Arial" w:hAnsi="Arial" w:cs="Arial"/>
                <w:sz w:val="20"/>
                <w:szCs w:val="20"/>
              </w:rPr>
              <w:t xml:space="preserve">Nhà Nước Pháp Quyền Ở Việt Nam – Lý Luận Và Thực Tiễn, The Maureen and Mike Mansfield Foundation (2001). </w:t>
            </w:r>
          </w:p>
          <w:p w:rsidR="00054291" w:rsidRPr="000C12F8" w:rsidRDefault="000C12F8" w:rsidP="00F24206">
            <w:pPr>
              <w:pStyle w:val="ListParagraph"/>
              <w:numPr>
                <w:ilvl w:val="0"/>
                <w:numId w:val="1"/>
              </w:numPr>
              <w:rPr>
                <w:rFonts w:ascii="Arial" w:hAnsi="Arial" w:cs="Arial"/>
                <w:sz w:val="20"/>
                <w:szCs w:val="20"/>
              </w:rPr>
            </w:pPr>
            <w:r w:rsidRPr="000C12F8">
              <w:rPr>
                <w:rFonts w:ascii="Arial" w:hAnsi="Arial" w:cs="Arial"/>
                <w:sz w:val="20"/>
                <w:szCs w:val="20"/>
              </w:rPr>
              <w:t>Tác giả nhiều bài báo về nhiều chủ đề pháp lý của Việt Nam, bao gồm Hiệp Định Thương Mại Song Phương Việt – Mỹ và Việt Nam gia nhập Tổ Chức Thương Mại Thế Giới (từ 1996 đến nay).</w:t>
            </w:r>
          </w:p>
        </w:tc>
      </w:tr>
      <w:tr w:rsidR="000C12F8" w:rsidRPr="008D6A62" w:rsidTr="00962FF4">
        <w:tc>
          <w:tcPr>
            <w:tcW w:w="9632" w:type="dxa"/>
            <w:gridSpan w:val="6"/>
          </w:tcPr>
          <w:p w:rsidR="000C12F8" w:rsidRPr="000C12F8" w:rsidRDefault="000C12F8" w:rsidP="00F24206">
            <w:pPr>
              <w:rPr>
                <w:rFonts w:ascii="Arial" w:hAnsi="Arial" w:cs="Arial"/>
                <w:i/>
                <w:sz w:val="20"/>
                <w:szCs w:val="20"/>
                <w:u w:val="single"/>
              </w:rPr>
            </w:pPr>
            <w:r w:rsidRPr="000C12F8">
              <w:rPr>
                <w:rFonts w:ascii="Arial" w:hAnsi="Arial" w:cs="Arial"/>
                <w:i/>
                <w:sz w:val="20"/>
                <w:szCs w:val="20"/>
                <w:u w:val="single"/>
              </w:rPr>
              <w:t>Giảng dạy</w:t>
            </w:r>
          </w:p>
          <w:p w:rsidR="000C12F8" w:rsidRPr="00F24206" w:rsidRDefault="000C12F8" w:rsidP="00F24206">
            <w:pPr>
              <w:pStyle w:val="ListParagraph"/>
              <w:numPr>
                <w:ilvl w:val="0"/>
                <w:numId w:val="1"/>
              </w:numPr>
              <w:rPr>
                <w:rFonts w:ascii="Arial" w:hAnsi="Arial" w:cs="Arial"/>
                <w:sz w:val="20"/>
                <w:szCs w:val="20"/>
              </w:rPr>
            </w:pPr>
            <w:r w:rsidRPr="00F24206">
              <w:rPr>
                <w:rFonts w:ascii="Arial" w:hAnsi="Arial" w:cs="Arial"/>
                <w:sz w:val="20"/>
                <w:szCs w:val="20"/>
              </w:rPr>
              <w:t>Từng giảng dạy luật cho các lớp cử nhân và thạc sĩ của Đại Học Luật và Đại Học Kinh Tế của Thành phố Hồ Chí Minh.</w:t>
            </w:r>
          </w:p>
        </w:tc>
      </w:tr>
      <w:tr w:rsidR="00F24206" w:rsidRPr="008D6A62" w:rsidTr="00962FF4">
        <w:tc>
          <w:tcPr>
            <w:tcW w:w="9632" w:type="dxa"/>
            <w:gridSpan w:val="6"/>
          </w:tcPr>
          <w:p w:rsidR="00F24206" w:rsidRDefault="00F24206" w:rsidP="00F24206">
            <w:pPr>
              <w:rPr>
                <w:rFonts w:ascii="Arial" w:hAnsi="Arial" w:cs="Arial"/>
                <w:i/>
                <w:sz w:val="20"/>
                <w:szCs w:val="20"/>
                <w:u w:val="single"/>
              </w:rPr>
            </w:pPr>
            <w:r>
              <w:rPr>
                <w:rFonts w:ascii="Arial" w:hAnsi="Arial" w:cs="Arial"/>
                <w:i/>
                <w:sz w:val="20"/>
                <w:szCs w:val="20"/>
                <w:u w:val="single"/>
              </w:rPr>
              <w:lastRenderedPageBreak/>
              <w:t>Khen thưởng</w:t>
            </w:r>
          </w:p>
          <w:p w:rsidR="00F24206" w:rsidRDefault="00F24206" w:rsidP="00F24206">
            <w:pPr>
              <w:pStyle w:val="ListParagraph"/>
              <w:numPr>
                <w:ilvl w:val="0"/>
                <w:numId w:val="1"/>
              </w:numPr>
              <w:rPr>
                <w:rFonts w:ascii="Arial" w:hAnsi="Arial" w:cs="Arial"/>
                <w:sz w:val="20"/>
                <w:szCs w:val="20"/>
              </w:rPr>
            </w:pPr>
            <w:r w:rsidRPr="00F24206">
              <w:rPr>
                <w:rFonts w:ascii="Arial" w:hAnsi="Arial" w:cs="Arial"/>
                <w:sz w:val="20"/>
                <w:szCs w:val="20"/>
              </w:rPr>
              <w:t xml:space="preserve">Huân chương Quyết thắng hạng II; </w:t>
            </w:r>
          </w:p>
          <w:p w:rsidR="00F24206" w:rsidRDefault="00F24206" w:rsidP="00F24206">
            <w:pPr>
              <w:pStyle w:val="ListParagraph"/>
              <w:numPr>
                <w:ilvl w:val="0"/>
                <w:numId w:val="1"/>
              </w:numPr>
              <w:rPr>
                <w:rFonts w:ascii="Arial" w:hAnsi="Arial" w:cs="Arial"/>
                <w:sz w:val="20"/>
                <w:szCs w:val="20"/>
              </w:rPr>
            </w:pPr>
            <w:r w:rsidRPr="00F24206">
              <w:rPr>
                <w:rFonts w:ascii="Arial" w:hAnsi="Arial" w:cs="Arial"/>
                <w:sz w:val="20"/>
                <w:szCs w:val="20"/>
              </w:rPr>
              <w:t xml:space="preserve">Huân chương kháng chiến chống Mỹ cứu nước hạng III; </w:t>
            </w:r>
          </w:p>
          <w:p w:rsidR="00F24206" w:rsidRDefault="00F24206" w:rsidP="00F24206">
            <w:pPr>
              <w:pStyle w:val="ListParagraph"/>
              <w:numPr>
                <w:ilvl w:val="0"/>
                <w:numId w:val="1"/>
              </w:numPr>
              <w:rPr>
                <w:rFonts w:ascii="Arial" w:hAnsi="Arial" w:cs="Arial"/>
                <w:sz w:val="20"/>
                <w:szCs w:val="20"/>
              </w:rPr>
            </w:pPr>
            <w:r w:rsidRPr="00F24206">
              <w:rPr>
                <w:rFonts w:ascii="Arial" w:hAnsi="Arial" w:cs="Arial"/>
                <w:sz w:val="20"/>
                <w:szCs w:val="20"/>
              </w:rPr>
              <w:t xml:space="preserve">Huân chương Kháng chiến hạng III; </w:t>
            </w:r>
          </w:p>
          <w:p w:rsidR="00F24206" w:rsidRPr="00F24206" w:rsidRDefault="00F24206" w:rsidP="00F24206">
            <w:pPr>
              <w:pStyle w:val="ListParagraph"/>
              <w:numPr>
                <w:ilvl w:val="0"/>
                <w:numId w:val="1"/>
              </w:numPr>
              <w:rPr>
                <w:rFonts w:ascii="Arial" w:hAnsi="Arial" w:cs="Arial"/>
                <w:sz w:val="20"/>
                <w:szCs w:val="20"/>
              </w:rPr>
            </w:pPr>
            <w:r w:rsidRPr="00F24206">
              <w:rPr>
                <w:rFonts w:ascii="Arial" w:hAnsi="Arial" w:cs="Arial"/>
                <w:sz w:val="20"/>
                <w:szCs w:val="20"/>
              </w:rPr>
              <w:t>nhiều bằng khen, giấ</w:t>
            </w:r>
            <w:r>
              <w:rPr>
                <w:rFonts w:ascii="Arial" w:hAnsi="Arial" w:cs="Arial"/>
                <w:sz w:val="20"/>
                <w:szCs w:val="20"/>
              </w:rPr>
              <w:t xml:space="preserve">y khen của </w:t>
            </w:r>
            <w:r w:rsidRPr="00F24206">
              <w:rPr>
                <w:rFonts w:ascii="Arial" w:hAnsi="Arial" w:cs="Arial"/>
                <w:sz w:val="20"/>
                <w:szCs w:val="20"/>
              </w:rPr>
              <w:t>Đại biểu Hội đồng Nhân dân Thành phố Khóa IV.</w:t>
            </w:r>
          </w:p>
        </w:tc>
      </w:tr>
    </w:tbl>
    <w:p w:rsidR="008D6A62" w:rsidRPr="008D6A62" w:rsidRDefault="008D6A62">
      <w:pPr>
        <w:rPr>
          <w:rFonts w:ascii="Arial" w:hAnsi="Arial" w:cs="Arial"/>
          <w:szCs w:val="24"/>
        </w:rPr>
      </w:pPr>
    </w:p>
    <w:sectPr w:rsidR="008D6A62" w:rsidRPr="008D6A62" w:rsidSect="000E2143">
      <w:headerReference w:type="default" r:id="rId17"/>
      <w:pgSz w:w="11907" w:h="16839" w:code="9"/>
      <w:pgMar w:top="630" w:right="1134" w:bottom="1080" w:left="1985"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0F6" w:rsidRDefault="00F930F6" w:rsidP="008D6A62">
      <w:pPr>
        <w:spacing w:before="0" w:after="0" w:line="240" w:lineRule="auto"/>
      </w:pPr>
      <w:r>
        <w:separator/>
      </w:r>
    </w:p>
  </w:endnote>
  <w:endnote w:type="continuationSeparator" w:id="0">
    <w:p w:rsidR="00F930F6" w:rsidRDefault="00F930F6" w:rsidP="008D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0F6" w:rsidRDefault="00F930F6" w:rsidP="008D6A62">
      <w:pPr>
        <w:spacing w:before="0" w:after="0" w:line="240" w:lineRule="auto"/>
      </w:pPr>
      <w:r>
        <w:separator/>
      </w:r>
    </w:p>
  </w:footnote>
  <w:footnote w:type="continuationSeparator" w:id="0">
    <w:p w:rsidR="00F930F6" w:rsidRDefault="00F930F6" w:rsidP="008D6A6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A62" w:rsidRDefault="008D6A62" w:rsidP="008D6A62">
    <w:pPr>
      <w:pStyle w:val="Header"/>
      <w:ind w:left="-10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44A9"/>
    <w:multiLevelType w:val="hybridMultilevel"/>
    <w:tmpl w:val="B12C88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77650"/>
    <w:multiLevelType w:val="hybridMultilevel"/>
    <w:tmpl w:val="506A4D16"/>
    <w:lvl w:ilvl="0" w:tplc="CAB40F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15EFA"/>
    <w:multiLevelType w:val="hybridMultilevel"/>
    <w:tmpl w:val="B34E3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B710B"/>
    <w:multiLevelType w:val="hybridMultilevel"/>
    <w:tmpl w:val="E7AC5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E9"/>
    <w:rsid w:val="0000115A"/>
    <w:rsid w:val="00004C1B"/>
    <w:rsid w:val="0000599A"/>
    <w:rsid w:val="00014669"/>
    <w:rsid w:val="000202CF"/>
    <w:rsid w:val="00021A24"/>
    <w:rsid w:val="000269DB"/>
    <w:rsid w:val="00030BEA"/>
    <w:rsid w:val="00035386"/>
    <w:rsid w:val="0003742A"/>
    <w:rsid w:val="00037913"/>
    <w:rsid w:val="0004346A"/>
    <w:rsid w:val="00050E6C"/>
    <w:rsid w:val="00054291"/>
    <w:rsid w:val="00056171"/>
    <w:rsid w:val="00056BC2"/>
    <w:rsid w:val="0005762D"/>
    <w:rsid w:val="0006723D"/>
    <w:rsid w:val="000732DF"/>
    <w:rsid w:val="00096897"/>
    <w:rsid w:val="00096DEC"/>
    <w:rsid w:val="000A62AE"/>
    <w:rsid w:val="000B05F1"/>
    <w:rsid w:val="000B1B24"/>
    <w:rsid w:val="000B4FB2"/>
    <w:rsid w:val="000B5935"/>
    <w:rsid w:val="000B62AD"/>
    <w:rsid w:val="000B6899"/>
    <w:rsid w:val="000C0E9B"/>
    <w:rsid w:val="000C12F8"/>
    <w:rsid w:val="000C1FDA"/>
    <w:rsid w:val="000C2DE6"/>
    <w:rsid w:val="000C63A2"/>
    <w:rsid w:val="000D6ADD"/>
    <w:rsid w:val="000D762A"/>
    <w:rsid w:val="000E2143"/>
    <w:rsid w:val="000E677E"/>
    <w:rsid w:val="000F135E"/>
    <w:rsid w:val="000F176F"/>
    <w:rsid w:val="000F2911"/>
    <w:rsid w:val="000F5039"/>
    <w:rsid w:val="001177E3"/>
    <w:rsid w:val="00126118"/>
    <w:rsid w:val="00127226"/>
    <w:rsid w:val="001331EE"/>
    <w:rsid w:val="00147A0A"/>
    <w:rsid w:val="001507E7"/>
    <w:rsid w:val="00151B79"/>
    <w:rsid w:val="001566E8"/>
    <w:rsid w:val="00160C38"/>
    <w:rsid w:val="00161C59"/>
    <w:rsid w:val="0017013D"/>
    <w:rsid w:val="001710A0"/>
    <w:rsid w:val="00174667"/>
    <w:rsid w:val="00184AE0"/>
    <w:rsid w:val="00184FC1"/>
    <w:rsid w:val="00187F35"/>
    <w:rsid w:val="0019388E"/>
    <w:rsid w:val="0019559C"/>
    <w:rsid w:val="001A601A"/>
    <w:rsid w:val="001A688F"/>
    <w:rsid w:val="001B4193"/>
    <w:rsid w:val="001B73C5"/>
    <w:rsid w:val="001C2DEE"/>
    <w:rsid w:val="001D06F9"/>
    <w:rsid w:val="001D2651"/>
    <w:rsid w:val="001D4043"/>
    <w:rsid w:val="001D439C"/>
    <w:rsid w:val="001D4DDF"/>
    <w:rsid w:val="001E32DB"/>
    <w:rsid w:val="001E588E"/>
    <w:rsid w:val="001F04AA"/>
    <w:rsid w:val="001F0C99"/>
    <w:rsid w:val="00206094"/>
    <w:rsid w:val="00213F68"/>
    <w:rsid w:val="00220A6A"/>
    <w:rsid w:val="00223B38"/>
    <w:rsid w:val="00227E36"/>
    <w:rsid w:val="00230F48"/>
    <w:rsid w:val="002510AB"/>
    <w:rsid w:val="00256E87"/>
    <w:rsid w:val="002862CC"/>
    <w:rsid w:val="00286D65"/>
    <w:rsid w:val="0029323A"/>
    <w:rsid w:val="00293911"/>
    <w:rsid w:val="002944D2"/>
    <w:rsid w:val="0029455E"/>
    <w:rsid w:val="00297FEC"/>
    <w:rsid w:val="002A0B89"/>
    <w:rsid w:val="002A16A7"/>
    <w:rsid w:val="002A7BB9"/>
    <w:rsid w:val="002B2CF1"/>
    <w:rsid w:val="002B4E74"/>
    <w:rsid w:val="002C37CD"/>
    <w:rsid w:val="002E14FF"/>
    <w:rsid w:val="002E72F9"/>
    <w:rsid w:val="002F0965"/>
    <w:rsid w:val="002F2E7F"/>
    <w:rsid w:val="002F4AEE"/>
    <w:rsid w:val="002F78A4"/>
    <w:rsid w:val="003067FD"/>
    <w:rsid w:val="00306E40"/>
    <w:rsid w:val="0031065C"/>
    <w:rsid w:val="00324D25"/>
    <w:rsid w:val="00327323"/>
    <w:rsid w:val="00332918"/>
    <w:rsid w:val="00353943"/>
    <w:rsid w:val="00356A01"/>
    <w:rsid w:val="00356C2F"/>
    <w:rsid w:val="003618A2"/>
    <w:rsid w:val="00362F12"/>
    <w:rsid w:val="00362F85"/>
    <w:rsid w:val="00367418"/>
    <w:rsid w:val="00371182"/>
    <w:rsid w:val="0037141D"/>
    <w:rsid w:val="00372C1D"/>
    <w:rsid w:val="003839F5"/>
    <w:rsid w:val="0038560E"/>
    <w:rsid w:val="00385824"/>
    <w:rsid w:val="003872CD"/>
    <w:rsid w:val="003919BD"/>
    <w:rsid w:val="003954C5"/>
    <w:rsid w:val="003A6516"/>
    <w:rsid w:val="003A7143"/>
    <w:rsid w:val="003B1545"/>
    <w:rsid w:val="003B6471"/>
    <w:rsid w:val="003C52F5"/>
    <w:rsid w:val="003C6368"/>
    <w:rsid w:val="003D40B0"/>
    <w:rsid w:val="003D66CC"/>
    <w:rsid w:val="003D74E7"/>
    <w:rsid w:val="003F2F11"/>
    <w:rsid w:val="00403DEB"/>
    <w:rsid w:val="00405796"/>
    <w:rsid w:val="0041543F"/>
    <w:rsid w:val="00416341"/>
    <w:rsid w:val="00416D02"/>
    <w:rsid w:val="00424A75"/>
    <w:rsid w:val="0042663F"/>
    <w:rsid w:val="00430325"/>
    <w:rsid w:val="004429F1"/>
    <w:rsid w:val="00442A1C"/>
    <w:rsid w:val="00442AC4"/>
    <w:rsid w:val="0044337E"/>
    <w:rsid w:val="0045040A"/>
    <w:rsid w:val="004559C6"/>
    <w:rsid w:val="004729D6"/>
    <w:rsid w:val="004802FB"/>
    <w:rsid w:val="00481198"/>
    <w:rsid w:val="00485B59"/>
    <w:rsid w:val="00485D0A"/>
    <w:rsid w:val="00487A05"/>
    <w:rsid w:val="00497352"/>
    <w:rsid w:val="004A68FC"/>
    <w:rsid w:val="004A7585"/>
    <w:rsid w:val="004B7505"/>
    <w:rsid w:val="004B7934"/>
    <w:rsid w:val="004C3989"/>
    <w:rsid w:val="004C71D1"/>
    <w:rsid w:val="004E6BF1"/>
    <w:rsid w:val="004E6F38"/>
    <w:rsid w:val="004F28D6"/>
    <w:rsid w:val="004F61B9"/>
    <w:rsid w:val="00500804"/>
    <w:rsid w:val="0050356F"/>
    <w:rsid w:val="005046C3"/>
    <w:rsid w:val="0050731A"/>
    <w:rsid w:val="0051350D"/>
    <w:rsid w:val="005344E9"/>
    <w:rsid w:val="0053515A"/>
    <w:rsid w:val="00541B85"/>
    <w:rsid w:val="0055517A"/>
    <w:rsid w:val="00555192"/>
    <w:rsid w:val="00555536"/>
    <w:rsid w:val="0056064D"/>
    <w:rsid w:val="005649FD"/>
    <w:rsid w:val="00564EB9"/>
    <w:rsid w:val="005911EC"/>
    <w:rsid w:val="00595D1D"/>
    <w:rsid w:val="005A5E31"/>
    <w:rsid w:val="005A630E"/>
    <w:rsid w:val="005B4CC9"/>
    <w:rsid w:val="005C1E06"/>
    <w:rsid w:val="005C3899"/>
    <w:rsid w:val="005C7C40"/>
    <w:rsid w:val="005D0A8B"/>
    <w:rsid w:val="005D2600"/>
    <w:rsid w:val="005E2EF7"/>
    <w:rsid w:val="005F18A1"/>
    <w:rsid w:val="006053D5"/>
    <w:rsid w:val="00605ED7"/>
    <w:rsid w:val="0061228A"/>
    <w:rsid w:val="00614776"/>
    <w:rsid w:val="00614890"/>
    <w:rsid w:val="006231B6"/>
    <w:rsid w:val="00623450"/>
    <w:rsid w:val="006317C7"/>
    <w:rsid w:val="00641481"/>
    <w:rsid w:val="00644506"/>
    <w:rsid w:val="0064524A"/>
    <w:rsid w:val="00645B08"/>
    <w:rsid w:val="00656DB0"/>
    <w:rsid w:val="0065736F"/>
    <w:rsid w:val="00660BE2"/>
    <w:rsid w:val="00664D15"/>
    <w:rsid w:val="0067215C"/>
    <w:rsid w:val="00687BDD"/>
    <w:rsid w:val="006970AB"/>
    <w:rsid w:val="006A1EBD"/>
    <w:rsid w:val="006A3606"/>
    <w:rsid w:val="006A3BBD"/>
    <w:rsid w:val="006B1678"/>
    <w:rsid w:val="006B2A40"/>
    <w:rsid w:val="006B742F"/>
    <w:rsid w:val="006D324E"/>
    <w:rsid w:val="006D4F7C"/>
    <w:rsid w:val="006F1260"/>
    <w:rsid w:val="006F1F92"/>
    <w:rsid w:val="006F2DA5"/>
    <w:rsid w:val="006F4B1C"/>
    <w:rsid w:val="006F7CF8"/>
    <w:rsid w:val="00700A3A"/>
    <w:rsid w:val="00702D0E"/>
    <w:rsid w:val="00703C6B"/>
    <w:rsid w:val="00716B04"/>
    <w:rsid w:val="00726003"/>
    <w:rsid w:val="00751298"/>
    <w:rsid w:val="00751333"/>
    <w:rsid w:val="0075465E"/>
    <w:rsid w:val="00757BA2"/>
    <w:rsid w:val="007651AC"/>
    <w:rsid w:val="00776D0F"/>
    <w:rsid w:val="00781F71"/>
    <w:rsid w:val="007842C5"/>
    <w:rsid w:val="007A43F6"/>
    <w:rsid w:val="007A74E9"/>
    <w:rsid w:val="007B08BE"/>
    <w:rsid w:val="007B36D2"/>
    <w:rsid w:val="007B4EB9"/>
    <w:rsid w:val="007C13E0"/>
    <w:rsid w:val="007D31C7"/>
    <w:rsid w:val="007D5970"/>
    <w:rsid w:val="007E4BB5"/>
    <w:rsid w:val="007E511D"/>
    <w:rsid w:val="007E576E"/>
    <w:rsid w:val="007E60DB"/>
    <w:rsid w:val="007F04B0"/>
    <w:rsid w:val="007F26FF"/>
    <w:rsid w:val="0080451D"/>
    <w:rsid w:val="008115B7"/>
    <w:rsid w:val="00811837"/>
    <w:rsid w:val="008125C5"/>
    <w:rsid w:val="00817A60"/>
    <w:rsid w:val="00817CFB"/>
    <w:rsid w:val="00845D0B"/>
    <w:rsid w:val="00850DB0"/>
    <w:rsid w:val="00870309"/>
    <w:rsid w:val="00876F27"/>
    <w:rsid w:val="00877AB2"/>
    <w:rsid w:val="00877DE8"/>
    <w:rsid w:val="008805E3"/>
    <w:rsid w:val="008848AE"/>
    <w:rsid w:val="008853E3"/>
    <w:rsid w:val="008900E5"/>
    <w:rsid w:val="00895444"/>
    <w:rsid w:val="008977CA"/>
    <w:rsid w:val="008A00D3"/>
    <w:rsid w:val="008B1FE1"/>
    <w:rsid w:val="008B2015"/>
    <w:rsid w:val="008C3CBC"/>
    <w:rsid w:val="008C7DDB"/>
    <w:rsid w:val="008D45D9"/>
    <w:rsid w:val="008D6A62"/>
    <w:rsid w:val="008E292F"/>
    <w:rsid w:val="008E5706"/>
    <w:rsid w:val="008F0C25"/>
    <w:rsid w:val="00907F32"/>
    <w:rsid w:val="0091276A"/>
    <w:rsid w:val="009145D2"/>
    <w:rsid w:val="00917DB6"/>
    <w:rsid w:val="00920F6F"/>
    <w:rsid w:val="0092326A"/>
    <w:rsid w:val="00923D3C"/>
    <w:rsid w:val="009278BC"/>
    <w:rsid w:val="00931732"/>
    <w:rsid w:val="00931CB6"/>
    <w:rsid w:val="00932C98"/>
    <w:rsid w:val="009403D3"/>
    <w:rsid w:val="009431CD"/>
    <w:rsid w:val="009456FD"/>
    <w:rsid w:val="0095145A"/>
    <w:rsid w:val="009606D9"/>
    <w:rsid w:val="009617BD"/>
    <w:rsid w:val="00962FF4"/>
    <w:rsid w:val="00964E8D"/>
    <w:rsid w:val="00976309"/>
    <w:rsid w:val="00981BE9"/>
    <w:rsid w:val="00984B0C"/>
    <w:rsid w:val="009900F6"/>
    <w:rsid w:val="00990727"/>
    <w:rsid w:val="009A140E"/>
    <w:rsid w:val="009A1F87"/>
    <w:rsid w:val="009A4C7F"/>
    <w:rsid w:val="009A7418"/>
    <w:rsid w:val="009B122B"/>
    <w:rsid w:val="009B124D"/>
    <w:rsid w:val="009D3B96"/>
    <w:rsid w:val="009D3DAC"/>
    <w:rsid w:val="009D59E9"/>
    <w:rsid w:val="009E1355"/>
    <w:rsid w:val="009E5605"/>
    <w:rsid w:val="009F12EC"/>
    <w:rsid w:val="009F362B"/>
    <w:rsid w:val="00A00CBB"/>
    <w:rsid w:val="00A05C9A"/>
    <w:rsid w:val="00A11A2A"/>
    <w:rsid w:val="00A1308A"/>
    <w:rsid w:val="00A134EF"/>
    <w:rsid w:val="00A17E37"/>
    <w:rsid w:val="00A252E8"/>
    <w:rsid w:val="00A43B30"/>
    <w:rsid w:val="00A479B9"/>
    <w:rsid w:val="00A52979"/>
    <w:rsid w:val="00A529B8"/>
    <w:rsid w:val="00A54859"/>
    <w:rsid w:val="00A55AB1"/>
    <w:rsid w:val="00A6332A"/>
    <w:rsid w:val="00A7451C"/>
    <w:rsid w:val="00A92FF9"/>
    <w:rsid w:val="00A930E6"/>
    <w:rsid w:val="00AA1B0A"/>
    <w:rsid w:val="00AA476E"/>
    <w:rsid w:val="00AB1B8F"/>
    <w:rsid w:val="00AB2DE6"/>
    <w:rsid w:val="00AB6D46"/>
    <w:rsid w:val="00AC3505"/>
    <w:rsid w:val="00AC4159"/>
    <w:rsid w:val="00AD6DDD"/>
    <w:rsid w:val="00AD7EFF"/>
    <w:rsid w:val="00AD7FB2"/>
    <w:rsid w:val="00AE0CD5"/>
    <w:rsid w:val="00AE10B7"/>
    <w:rsid w:val="00AE3442"/>
    <w:rsid w:val="00AE42E7"/>
    <w:rsid w:val="00AE5D5D"/>
    <w:rsid w:val="00AE6943"/>
    <w:rsid w:val="00AF0F0A"/>
    <w:rsid w:val="00AF1B02"/>
    <w:rsid w:val="00AF661E"/>
    <w:rsid w:val="00B00787"/>
    <w:rsid w:val="00B103CF"/>
    <w:rsid w:val="00B113AF"/>
    <w:rsid w:val="00B23479"/>
    <w:rsid w:val="00B25B3D"/>
    <w:rsid w:val="00B3663B"/>
    <w:rsid w:val="00B40964"/>
    <w:rsid w:val="00B45CF2"/>
    <w:rsid w:val="00B5517B"/>
    <w:rsid w:val="00B55369"/>
    <w:rsid w:val="00B6244B"/>
    <w:rsid w:val="00B62A2B"/>
    <w:rsid w:val="00B66CC8"/>
    <w:rsid w:val="00B67428"/>
    <w:rsid w:val="00B67E16"/>
    <w:rsid w:val="00B8219D"/>
    <w:rsid w:val="00B82E12"/>
    <w:rsid w:val="00B87AAB"/>
    <w:rsid w:val="00B9177C"/>
    <w:rsid w:val="00B9532D"/>
    <w:rsid w:val="00BA2715"/>
    <w:rsid w:val="00BB3F1F"/>
    <w:rsid w:val="00BC0F76"/>
    <w:rsid w:val="00BC2CC2"/>
    <w:rsid w:val="00BD351B"/>
    <w:rsid w:val="00BE142F"/>
    <w:rsid w:val="00BE4C0F"/>
    <w:rsid w:val="00BE5D22"/>
    <w:rsid w:val="00BE6D16"/>
    <w:rsid w:val="00BF55C9"/>
    <w:rsid w:val="00C05ABB"/>
    <w:rsid w:val="00C10DA8"/>
    <w:rsid w:val="00C11D74"/>
    <w:rsid w:val="00C23733"/>
    <w:rsid w:val="00C316C0"/>
    <w:rsid w:val="00C41A55"/>
    <w:rsid w:val="00C42815"/>
    <w:rsid w:val="00C44169"/>
    <w:rsid w:val="00C447E2"/>
    <w:rsid w:val="00C4507A"/>
    <w:rsid w:val="00C5003C"/>
    <w:rsid w:val="00C62357"/>
    <w:rsid w:val="00C66524"/>
    <w:rsid w:val="00C67CCD"/>
    <w:rsid w:val="00C72B56"/>
    <w:rsid w:val="00C74D78"/>
    <w:rsid w:val="00C75374"/>
    <w:rsid w:val="00C844EA"/>
    <w:rsid w:val="00C84904"/>
    <w:rsid w:val="00C8682C"/>
    <w:rsid w:val="00CA4861"/>
    <w:rsid w:val="00CC09B1"/>
    <w:rsid w:val="00CC3643"/>
    <w:rsid w:val="00CC5382"/>
    <w:rsid w:val="00CD53A1"/>
    <w:rsid w:val="00CD7791"/>
    <w:rsid w:val="00CE056C"/>
    <w:rsid w:val="00CF2DCE"/>
    <w:rsid w:val="00D03508"/>
    <w:rsid w:val="00D03E16"/>
    <w:rsid w:val="00D0447E"/>
    <w:rsid w:val="00D27B54"/>
    <w:rsid w:val="00D42524"/>
    <w:rsid w:val="00D45D55"/>
    <w:rsid w:val="00D524D5"/>
    <w:rsid w:val="00D528C5"/>
    <w:rsid w:val="00D574DD"/>
    <w:rsid w:val="00D57791"/>
    <w:rsid w:val="00D61B15"/>
    <w:rsid w:val="00D62AAE"/>
    <w:rsid w:val="00D62ECA"/>
    <w:rsid w:val="00D65DCE"/>
    <w:rsid w:val="00D73A6F"/>
    <w:rsid w:val="00D82864"/>
    <w:rsid w:val="00D90DD8"/>
    <w:rsid w:val="00D95D09"/>
    <w:rsid w:val="00D96E23"/>
    <w:rsid w:val="00D970E7"/>
    <w:rsid w:val="00DA1C30"/>
    <w:rsid w:val="00DA69E6"/>
    <w:rsid w:val="00DB2FF5"/>
    <w:rsid w:val="00DB3892"/>
    <w:rsid w:val="00DB539F"/>
    <w:rsid w:val="00DC2BAF"/>
    <w:rsid w:val="00DC5946"/>
    <w:rsid w:val="00DD01F1"/>
    <w:rsid w:val="00DD2D46"/>
    <w:rsid w:val="00DD36CC"/>
    <w:rsid w:val="00DE03A6"/>
    <w:rsid w:val="00DE2B26"/>
    <w:rsid w:val="00DE304C"/>
    <w:rsid w:val="00DE63DD"/>
    <w:rsid w:val="00DF05EC"/>
    <w:rsid w:val="00DF12E1"/>
    <w:rsid w:val="00E01C16"/>
    <w:rsid w:val="00E01C68"/>
    <w:rsid w:val="00E06AC3"/>
    <w:rsid w:val="00E1209C"/>
    <w:rsid w:val="00E14F4D"/>
    <w:rsid w:val="00E1782E"/>
    <w:rsid w:val="00E21641"/>
    <w:rsid w:val="00E255CB"/>
    <w:rsid w:val="00E33E4D"/>
    <w:rsid w:val="00E34098"/>
    <w:rsid w:val="00E345BC"/>
    <w:rsid w:val="00E45789"/>
    <w:rsid w:val="00E8666D"/>
    <w:rsid w:val="00E86B73"/>
    <w:rsid w:val="00E91BA0"/>
    <w:rsid w:val="00E9264E"/>
    <w:rsid w:val="00E95461"/>
    <w:rsid w:val="00EA013D"/>
    <w:rsid w:val="00EA198F"/>
    <w:rsid w:val="00EA315E"/>
    <w:rsid w:val="00EA5A9F"/>
    <w:rsid w:val="00EA5F1F"/>
    <w:rsid w:val="00EA6973"/>
    <w:rsid w:val="00EA770C"/>
    <w:rsid w:val="00EB3284"/>
    <w:rsid w:val="00EB3511"/>
    <w:rsid w:val="00EB515A"/>
    <w:rsid w:val="00EB649A"/>
    <w:rsid w:val="00EC54A0"/>
    <w:rsid w:val="00EC7DB9"/>
    <w:rsid w:val="00ED61F7"/>
    <w:rsid w:val="00EE40FD"/>
    <w:rsid w:val="00EE7F2A"/>
    <w:rsid w:val="00EF1409"/>
    <w:rsid w:val="00EF16FB"/>
    <w:rsid w:val="00EF1E34"/>
    <w:rsid w:val="00EF2D3D"/>
    <w:rsid w:val="00EF39D7"/>
    <w:rsid w:val="00F05E78"/>
    <w:rsid w:val="00F07E82"/>
    <w:rsid w:val="00F1134E"/>
    <w:rsid w:val="00F14699"/>
    <w:rsid w:val="00F168C6"/>
    <w:rsid w:val="00F16F7B"/>
    <w:rsid w:val="00F1764C"/>
    <w:rsid w:val="00F17AA3"/>
    <w:rsid w:val="00F24206"/>
    <w:rsid w:val="00F25EE9"/>
    <w:rsid w:val="00F2779C"/>
    <w:rsid w:val="00F33375"/>
    <w:rsid w:val="00F33A8A"/>
    <w:rsid w:val="00F405FE"/>
    <w:rsid w:val="00F511B3"/>
    <w:rsid w:val="00F52229"/>
    <w:rsid w:val="00F54135"/>
    <w:rsid w:val="00F555CC"/>
    <w:rsid w:val="00F56D1F"/>
    <w:rsid w:val="00F61F9D"/>
    <w:rsid w:val="00F625E5"/>
    <w:rsid w:val="00F64F8A"/>
    <w:rsid w:val="00F661A7"/>
    <w:rsid w:val="00F91012"/>
    <w:rsid w:val="00F930F6"/>
    <w:rsid w:val="00F93FAA"/>
    <w:rsid w:val="00FA3519"/>
    <w:rsid w:val="00FA44AB"/>
    <w:rsid w:val="00FA67DB"/>
    <w:rsid w:val="00FC00C3"/>
    <w:rsid w:val="00FC1CE0"/>
    <w:rsid w:val="00FC6F14"/>
    <w:rsid w:val="00FD1774"/>
    <w:rsid w:val="00FE3F2D"/>
    <w:rsid w:val="00FE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62D20B-6C8A-4FA9-8DC0-09B6FACF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63B"/>
    <w:pPr>
      <w:spacing w:before="120"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D02"/>
    <w:rPr>
      <w:color w:val="0563C1" w:themeColor="hyperlink"/>
      <w:u w:val="single"/>
    </w:rPr>
  </w:style>
  <w:style w:type="paragraph" w:styleId="Header">
    <w:name w:val="header"/>
    <w:basedOn w:val="Normal"/>
    <w:link w:val="HeaderChar"/>
    <w:uiPriority w:val="99"/>
    <w:unhideWhenUsed/>
    <w:rsid w:val="008D6A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6A62"/>
    <w:rPr>
      <w:rFonts w:ascii="Times New Roman" w:hAnsi="Times New Roman"/>
      <w:sz w:val="24"/>
    </w:rPr>
  </w:style>
  <w:style w:type="paragraph" w:styleId="Footer">
    <w:name w:val="footer"/>
    <w:basedOn w:val="Normal"/>
    <w:link w:val="FooterChar"/>
    <w:uiPriority w:val="99"/>
    <w:unhideWhenUsed/>
    <w:rsid w:val="008D6A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6A62"/>
    <w:rPr>
      <w:rFonts w:ascii="Times New Roman" w:hAnsi="Times New Roman"/>
      <w:sz w:val="24"/>
    </w:rPr>
  </w:style>
  <w:style w:type="paragraph" w:styleId="ListParagraph">
    <w:name w:val="List Paragraph"/>
    <w:basedOn w:val="Normal"/>
    <w:uiPriority w:val="34"/>
    <w:qFormat/>
    <w:rsid w:val="00F24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nghia.truong@ykvn-law.com"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viao</dc:creator>
  <cp:keywords/>
  <dc:description/>
  <cp:lastModifiedBy>viao</cp:lastModifiedBy>
  <cp:revision>6</cp:revision>
  <dcterms:created xsi:type="dcterms:W3CDTF">2018-06-19T03:54:00Z</dcterms:created>
  <dcterms:modified xsi:type="dcterms:W3CDTF">2018-07-04T03:17:00Z</dcterms:modified>
</cp:coreProperties>
</file>